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F676A" w14:textId="77777777" w:rsidR="00F23998" w:rsidRPr="00897DC5" w:rsidRDefault="00F23998" w:rsidP="00F23998">
      <w:pPr>
        <w:jc w:val="center"/>
        <w:rPr>
          <w:rFonts w:ascii="Georgia" w:hAnsi="Georgia"/>
        </w:rPr>
      </w:pPr>
      <w:bookmarkStart w:id="0" w:name="_MailAutoSig"/>
      <w:r w:rsidRPr="00897DC5">
        <w:rPr>
          <w:noProof/>
        </w:rPr>
        <w:drawing>
          <wp:inline distT="0" distB="0" distL="0" distR="0" wp14:anchorId="304F9CA6" wp14:editId="793961B8">
            <wp:extent cx="1409700" cy="1409700"/>
            <wp:effectExtent l="0" t="0" r="0" b="0"/>
            <wp:docPr id="1076387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p>
    <w:bookmarkEnd w:id="0"/>
    <w:p w14:paraId="4B2F48D7" w14:textId="77777777" w:rsidR="00F23998" w:rsidRPr="00897DC5" w:rsidRDefault="00F23998" w:rsidP="00F23998">
      <w:pPr>
        <w:spacing w:after="0"/>
        <w:jc w:val="center"/>
        <w:rPr>
          <w:rFonts w:ascii="Georgia" w:hAnsi="Georgia"/>
          <w:noProof/>
        </w:rPr>
      </w:pPr>
      <w:r w:rsidRPr="00897DC5">
        <w:rPr>
          <w:rFonts w:cs="Arial"/>
          <w:noProof/>
          <w:sz w:val="36"/>
          <w:szCs w:val="36"/>
        </w:rPr>
        <w:t>Southern Shrimp Alliance</w:t>
      </w:r>
    </w:p>
    <w:p w14:paraId="700A3958" w14:textId="77777777" w:rsidR="00F23998" w:rsidRPr="00897DC5" w:rsidRDefault="00F23998" w:rsidP="00F23998">
      <w:pPr>
        <w:spacing w:after="0"/>
        <w:jc w:val="center"/>
        <w:rPr>
          <w:rFonts w:ascii="Georgia" w:hAnsi="Georgia" w:cs="Arial"/>
          <w:noProof/>
        </w:rPr>
      </w:pPr>
      <w:r w:rsidRPr="00897DC5">
        <w:rPr>
          <w:rFonts w:cs="Arial"/>
          <w:noProof/>
        </w:rPr>
        <w:t>9400 River Crossing Blvd. Suite 104</w:t>
      </w:r>
    </w:p>
    <w:p w14:paraId="5346CB9F" w14:textId="77777777" w:rsidR="00F23998" w:rsidRPr="00897DC5" w:rsidRDefault="00F23998" w:rsidP="00F23998">
      <w:pPr>
        <w:spacing w:after="0"/>
        <w:jc w:val="center"/>
        <w:rPr>
          <w:rFonts w:ascii="Georgia" w:hAnsi="Georgia" w:cs="Arial"/>
          <w:noProof/>
        </w:rPr>
      </w:pPr>
      <w:r w:rsidRPr="00897DC5">
        <w:rPr>
          <w:rFonts w:cs="Arial"/>
          <w:noProof/>
        </w:rPr>
        <w:t>New Port Richey, FL 34655</w:t>
      </w:r>
    </w:p>
    <w:p w14:paraId="5DFE66E8" w14:textId="77777777" w:rsidR="00F23998" w:rsidRDefault="00F23998">
      <w:pPr>
        <w:spacing w:after="280"/>
        <w:jc w:val="center"/>
        <w:rPr>
          <w:rFonts w:ascii="Georgia" w:hAnsi="Georgia"/>
          <w:b/>
          <w:szCs w:val="24"/>
        </w:rPr>
      </w:pPr>
    </w:p>
    <w:p w14:paraId="03BEAB73" w14:textId="77777777" w:rsidR="00A9651F" w:rsidRPr="00F23998" w:rsidRDefault="0043464F">
      <w:pPr>
        <w:spacing w:after="0"/>
        <w:jc w:val="center"/>
        <w:rPr>
          <w:rFonts w:ascii="Georgia" w:hAnsi="Georgia"/>
          <w:szCs w:val="24"/>
        </w:rPr>
      </w:pPr>
      <w:r>
        <w:rPr>
          <w:b/>
          <w:color w:val="000000"/>
        </w:rPr>
        <w:t>Southern Shrimp Alliance Comments</w:t>
      </w:r>
    </w:p>
    <w:p w14:paraId="44C41419" w14:textId="77777777" w:rsidR="00EC6F32" w:rsidRDefault="001C7144">
      <w:pPr>
        <w:spacing w:after="0"/>
        <w:jc w:val="center"/>
      </w:pPr>
      <w:r>
        <w:rPr>
          <w:b/>
          <w:i/>
          <w:color w:val="000000"/>
        </w:rPr>
        <w:t>Proposed Extension of the Commercial Shrimp Permit Moratorium in the Gulf</w:t>
      </w:r>
    </w:p>
    <w:p w14:paraId="3143DB33" w14:textId="77777777" w:rsidR="00EC6F32" w:rsidRDefault="00EC6F32">
      <w:pPr>
        <w:spacing w:after="0"/>
      </w:pPr>
    </w:p>
    <w:p w14:paraId="133CFE62" w14:textId="77777777" w:rsidR="00EC6F32" w:rsidRDefault="001C7144">
      <w:pPr>
        <w:spacing w:after="80"/>
        <w:jc w:val="right"/>
      </w:pPr>
      <w:r>
        <w:rPr>
          <w:color w:val="000000"/>
        </w:rPr>
        <w:t>NOAA-NMFS-2026-1387</w:t>
      </w:r>
    </w:p>
    <w:p w14:paraId="25F7BAB0" w14:textId="77777777" w:rsidR="00EC6F32" w:rsidRDefault="001C7144" w:rsidP="00236011">
      <w:pPr>
        <w:spacing w:after="80"/>
        <w:jc w:val="right"/>
        <w:rPr>
          <w:i/>
        </w:rPr>
      </w:pPr>
      <w:r>
        <w:rPr>
          <w:color w:val="000000"/>
        </w:rPr>
        <w:t xml:space="preserve">Submitted through </w:t>
      </w:r>
      <w:r>
        <w:rPr>
          <w:i/>
        </w:rPr>
        <w:t>Regulations.gov</w:t>
      </w:r>
    </w:p>
    <w:p w14:paraId="09DD0200" w14:textId="77777777" w:rsidR="00236011" w:rsidRDefault="00236011" w:rsidP="00236011">
      <w:pPr>
        <w:spacing w:after="80"/>
        <w:jc w:val="right"/>
      </w:pPr>
    </w:p>
    <w:p w14:paraId="2BC1B78C" w14:textId="6DB23679" w:rsidR="00A9651F" w:rsidRPr="00F23998" w:rsidRDefault="00C63308">
      <w:pPr>
        <w:pStyle w:val="LetterAddressee"/>
        <w:spacing w:after="160"/>
        <w:jc w:val="center"/>
        <w:rPr>
          <w:rFonts w:ascii="Georgia" w:hAnsi="Georgia"/>
          <w:sz w:val="24"/>
          <w:szCs w:val="24"/>
        </w:rPr>
      </w:pPr>
      <w:r>
        <w:rPr>
          <w:rFonts w:ascii="Times New Roman" w:eastAsia="Times New Roman" w:hAnsi="Times New Roman"/>
          <w:color w:val="000000"/>
          <w:sz w:val="24"/>
        </w:rPr>
        <w:t xml:space="preserve">September </w:t>
      </w:r>
      <w:r w:rsidR="007F59C7">
        <w:rPr>
          <w:rFonts w:ascii="Times New Roman" w:eastAsia="Times New Roman" w:hAnsi="Times New Roman"/>
          <w:color w:val="000000"/>
          <w:sz w:val="24"/>
        </w:rPr>
        <w:t>18</w:t>
      </w:r>
      <w:r>
        <w:rPr>
          <w:rFonts w:ascii="Times New Roman" w:eastAsia="Times New Roman" w:hAnsi="Times New Roman"/>
          <w:color w:val="000000"/>
          <w:sz w:val="24"/>
        </w:rPr>
        <w:t>, 2026</w:t>
      </w:r>
    </w:p>
    <w:p w14:paraId="36FB8241" w14:textId="0097D28D" w:rsidR="00236011" w:rsidRDefault="00236011">
      <w:pPr>
        <w:pStyle w:val="LetterAddressee"/>
        <w:rPr>
          <w:rFonts w:ascii="Times New Roman" w:eastAsia="Times New Roman" w:hAnsi="Times New Roman"/>
          <w:bCs/>
          <w:color w:val="000000"/>
          <w:sz w:val="24"/>
        </w:rPr>
      </w:pPr>
      <w:r>
        <w:rPr>
          <w:rFonts w:ascii="Times New Roman" w:eastAsia="Times New Roman" w:hAnsi="Times New Roman"/>
          <w:bCs/>
          <w:color w:val="000000"/>
          <w:sz w:val="24"/>
        </w:rPr>
        <w:t>Frank Helies</w:t>
      </w:r>
    </w:p>
    <w:p w14:paraId="41AB45E2" w14:textId="7EA264A1" w:rsidR="00A9651F" w:rsidRPr="00236011" w:rsidRDefault="0043464F">
      <w:pPr>
        <w:pStyle w:val="LetterAddressee"/>
        <w:rPr>
          <w:rFonts w:ascii="Georgia" w:hAnsi="Georgia"/>
          <w:bCs/>
          <w:sz w:val="24"/>
          <w:szCs w:val="24"/>
        </w:rPr>
      </w:pPr>
      <w:r w:rsidRPr="00236011">
        <w:rPr>
          <w:rFonts w:ascii="Times New Roman" w:eastAsia="Times New Roman" w:hAnsi="Times New Roman"/>
          <w:bCs/>
          <w:color w:val="000000"/>
          <w:sz w:val="24"/>
        </w:rPr>
        <w:t>National Marine Fisheries Service</w:t>
      </w:r>
    </w:p>
    <w:p w14:paraId="62A4C8A4" w14:textId="77777777" w:rsidR="00A9651F" w:rsidRPr="00236011" w:rsidRDefault="0043464F">
      <w:pPr>
        <w:pStyle w:val="LetterAddressee"/>
        <w:rPr>
          <w:rFonts w:ascii="Georgia" w:hAnsi="Georgia"/>
          <w:bCs/>
          <w:sz w:val="24"/>
          <w:szCs w:val="24"/>
        </w:rPr>
      </w:pPr>
      <w:r w:rsidRPr="00236011">
        <w:rPr>
          <w:rFonts w:ascii="Times New Roman" w:eastAsia="Times New Roman" w:hAnsi="Times New Roman"/>
          <w:bCs/>
          <w:color w:val="000000"/>
          <w:sz w:val="24"/>
        </w:rPr>
        <w:t>Southeast Regional Office</w:t>
      </w:r>
    </w:p>
    <w:p w14:paraId="66B217BD" w14:textId="77777777" w:rsidR="00A9651F" w:rsidRPr="00236011" w:rsidRDefault="0043464F">
      <w:pPr>
        <w:pStyle w:val="LetterAddressee"/>
        <w:rPr>
          <w:rFonts w:ascii="Times New Roman" w:eastAsia="Times New Roman" w:hAnsi="Times New Roman"/>
          <w:bCs/>
          <w:color w:val="000000"/>
          <w:sz w:val="24"/>
        </w:rPr>
      </w:pPr>
      <w:r w:rsidRPr="00236011">
        <w:rPr>
          <w:rFonts w:ascii="Times New Roman" w:eastAsia="Times New Roman" w:hAnsi="Times New Roman"/>
          <w:bCs/>
          <w:color w:val="000000"/>
          <w:sz w:val="24"/>
        </w:rPr>
        <w:t>Sustainable Fisheries Division</w:t>
      </w:r>
    </w:p>
    <w:p w14:paraId="59459788" w14:textId="77777777" w:rsidR="00A9651F" w:rsidRPr="00236011" w:rsidRDefault="0043464F">
      <w:pPr>
        <w:pStyle w:val="LetterAddressee"/>
        <w:rPr>
          <w:rFonts w:ascii="Georgia" w:hAnsi="Georgia"/>
          <w:bCs/>
          <w:sz w:val="24"/>
          <w:szCs w:val="24"/>
        </w:rPr>
      </w:pPr>
      <w:r w:rsidRPr="00236011">
        <w:rPr>
          <w:rFonts w:ascii="Times New Roman" w:eastAsia="Times New Roman" w:hAnsi="Times New Roman"/>
          <w:bCs/>
          <w:color w:val="000000"/>
          <w:sz w:val="24"/>
        </w:rPr>
        <w:t>263 13th Avenue South</w:t>
      </w:r>
    </w:p>
    <w:p w14:paraId="0EFF64A9" w14:textId="53A8F03C" w:rsidR="0086223A" w:rsidRDefault="0043464F" w:rsidP="00BD54D5">
      <w:pPr>
        <w:pStyle w:val="LetterAddressee"/>
        <w:rPr>
          <w:rFonts w:ascii="Times New Roman" w:eastAsia="Times New Roman" w:hAnsi="Times New Roman"/>
          <w:bCs/>
          <w:color w:val="000000"/>
          <w:sz w:val="24"/>
        </w:rPr>
      </w:pPr>
      <w:r w:rsidRPr="00236011">
        <w:rPr>
          <w:rFonts w:ascii="Times New Roman" w:eastAsia="Times New Roman" w:hAnsi="Times New Roman"/>
          <w:bCs/>
          <w:color w:val="000000"/>
          <w:sz w:val="24"/>
        </w:rPr>
        <w:t>St. Petersburg, F</w:t>
      </w:r>
      <w:r w:rsidR="00236011">
        <w:rPr>
          <w:rFonts w:ascii="Times New Roman" w:eastAsia="Times New Roman" w:hAnsi="Times New Roman"/>
          <w:bCs/>
          <w:color w:val="000000"/>
          <w:sz w:val="24"/>
        </w:rPr>
        <w:t>L</w:t>
      </w:r>
      <w:r w:rsidRPr="00236011">
        <w:rPr>
          <w:rFonts w:ascii="Times New Roman" w:eastAsia="Times New Roman" w:hAnsi="Times New Roman"/>
          <w:bCs/>
          <w:color w:val="000000"/>
          <w:sz w:val="24"/>
        </w:rPr>
        <w:t xml:space="preserve"> 33701</w:t>
      </w:r>
    </w:p>
    <w:p w14:paraId="2C4DE1CC" w14:textId="77777777" w:rsidR="00BD54D5" w:rsidRPr="00BD54D5" w:rsidRDefault="00BD54D5" w:rsidP="00BD54D5">
      <w:pPr>
        <w:pStyle w:val="LetterAddressee"/>
        <w:rPr>
          <w:rFonts w:ascii="Georgia" w:hAnsi="Georgia"/>
          <w:bCs/>
          <w:sz w:val="24"/>
          <w:szCs w:val="24"/>
        </w:rPr>
      </w:pPr>
    </w:p>
    <w:p w14:paraId="09D1F4FB" w14:textId="4C6A56AD" w:rsidR="00A9651F" w:rsidRPr="00F23998" w:rsidRDefault="0043464F">
      <w:pPr>
        <w:rPr>
          <w:rFonts w:ascii="Georgia" w:hAnsi="Georgia"/>
          <w:szCs w:val="24"/>
        </w:rPr>
      </w:pPr>
      <w:r w:rsidRPr="00F23998">
        <w:rPr>
          <w:szCs w:val="24"/>
        </w:rPr>
        <w:t xml:space="preserve">Dear </w:t>
      </w:r>
      <w:r w:rsidR="00236011">
        <w:rPr>
          <w:szCs w:val="24"/>
        </w:rPr>
        <w:t>Mr. Helies</w:t>
      </w:r>
      <w:r w:rsidRPr="00F23998">
        <w:rPr>
          <w:szCs w:val="24"/>
        </w:rPr>
        <w:t>:</w:t>
      </w:r>
    </w:p>
    <w:p w14:paraId="639FB0FD" w14:textId="0055C4B0" w:rsidR="00236011" w:rsidRDefault="0043464F" w:rsidP="0054054E">
      <w:pPr>
        <w:pStyle w:val="BodyText"/>
      </w:pPr>
      <w:r w:rsidRPr="00F23998">
        <w:t>The Southern Shrimp Alliance (SSA) submits these comments on the proposed rule to extend the moratorium on the issuance of new federal commercial shrimp vessel permits in the Gulf for ten years, through October 26, 2036.</w:t>
      </w:r>
      <w:r w:rsidR="00236011">
        <w:rPr>
          <w:rStyle w:val="FootnoteReference"/>
          <w:szCs w:val="24"/>
        </w:rPr>
        <w:footnoteReference w:id="1"/>
      </w:r>
      <w:r w:rsidRPr="00F23998">
        <w:t xml:space="preserve"> </w:t>
      </w:r>
    </w:p>
    <w:p w14:paraId="56AFEC7E" w14:textId="0BE52D58" w:rsidR="00295AD0" w:rsidRDefault="0043464F" w:rsidP="0054054E">
      <w:pPr>
        <w:pStyle w:val="BodyText"/>
        <w:rPr>
          <w:rFonts w:ascii="Georgia" w:hAnsi="Georgia"/>
        </w:rPr>
      </w:pPr>
      <w:r w:rsidRPr="00F23998">
        <w:t xml:space="preserve">SSA represents the interests of the domestic warmwater shrimp industry, including fishermen, vessel owners, </w:t>
      </w:r>
      <w:r w:rsidR="00236011">
        <w:t xml:space="preserve">shoreside facilities, </w:t>
      </w:r>
      <w:r w:rsidRPr="00F23998">
        <w:t>processors, and the coastal communities and working waterfronts that depend upon a viable U.S. shrimp fishery.</w:t>
      </w:r>
    </w:p>
    <w:p w14:paraId="5DBEA6FD" w14:textId="5A1B1491" w:rsidR="00A1498C" w:rsidRDefault="0043464F" w:rsidP="0054054E">
      <w:pPr>
        <w:pStyle w:val="BodyText"/>
      </w:pPr>
      <w:r w:rsidRPr="00F23998">
        <w:t xml:space="preserve">SSA </w:t>
      </w:r>
      <w:r w:rsidR="00BD54D5">
        <w:t>supports the continuation of the moratorium</w:t>
      </w:r>
      <w:r w:rsidRPr="00F23998">
        <w:t xml:space="preserve">. </w:t>
      </w:r>
      <w:r w:rsidR="00BD54D5">
        <w:t>SSA does not believe that the U.S. commercial warmwater shrimp fishing fleet operating in the Gulf of America is overcapitalized</w:t>
      </w:r>
      <w:r w:rsidR="00D96704">
        <w:t>.</w:t>
      </w:r>
      <w:r w:rsidR="00BD54D5">
        <w:t xml:space="preserve"> However, as NOAA Fisheries’ (NMFS) </w:t>
      </w:r>
      <w:r w:rsidR="00BD54D5">
        <w:rPr>
          <w:i/>
          <w:iCs/>
        </w:rPr>
        <w:t>Federal Register</w:t>
      </w:r>
      <w:r w:rsidR="00BD54D5">
        <w:t xml:space="preserve"> notice recognizes, </w:t>
      </w:r>
      <w:r w:rsidR="00A1498C">
        <w:t xml:space="preserve">fishing vessels operating in federal waters in the Gulf experienced significant losses in 2023 corresponding </w:t>
      </w:r>
      <w:r w:rsidR="00A1498C">
        <w:lastRenderedPageBreak/>
        <w:t>“with deteriorating economic conditions for the shrimp fishery seen in recent years, including low shrimp prices, increased foreign competition, and rising operating costs.”</w:t>
      </w:r>
      <w:r w:rsidR="00A1498C">
        <w:rPr>
          <w:rStyle w:val="FootnoteReference"/>
          <w:szCs w:val="24"/>
        </w:rPr>
        <w:footnoteReference w:id="2"/>
      </w:r>
      <w:r w:rsidR="00A1498C">
        <w:t xml:space="preserve"> These losses continued into 2024.  </w:t>
      </w:r>
    </w:p>
    <w:p w14:paraId="0D4EFA6B" w14:textId="2FB3DEE3" w:rsidR="00BD54D5" w:rsidRDefault="00A1498C" w:rsidP="0054054E">
      <w:pPr>
        <w:pStyle w:val="BodyText"/>
      </w:pPr>
      <w:r>
        <w:t xml:space="preserve">However, </w:t>
      </w:r>
      <w:r w:rsidR="00A63185">
        <w:t>new trade remedies to address unfairly subsidized shrimp imports from Ecuador, India, and Vietnam and dumped shrimp imports from Indonesia</w:t>
      </w:r>
      <w:r>
        <w:t>, coupled with additional actions by the Administration to increase tariffs on imported goods, led to</w:t>
      </w:r>
      <w:r w:rsidR="00CF6FA1">
        <w:t xml:space="preserve"> some</w:t>
      </w:r>
      <w:r>
        <w:t xml:space="preserve"> recovery in the industry</w:t>
      </w:r>
      <w:r w:rsidR="00A63185">
        <w:t>.</w:t>
      </w:r>
      <w:r w:rsidR="00055D86">
        <w:rPr>
          <w:rStyle w:val="FootnoteReference"/>
        </w:rPr>
        <w:footnoteReference w:id="3"/>
      </w:r>
      <w:r>
        <w:t xml:space="preserve"> </w:t>
      </w:r>
      <w:r w:rsidR="00A63185">
        <w:t>The</w:t>
      </w:r>
      <w:r>
        <w:t xml:space="preserve"> </w:t>
      </w:r>
      <w:r w:rsidR="00A63185">
        <w:t>long-term maintenance of a level playing field in the U.S. shrimp market</w:t>
      </w:r>
      <w:r>
        <w:t xml:space="preserve"> </w:t>
      </w:r>
      <w:r w:rsidR="00A63185">
        <w:t>would be likely to</w:t>
      </w:r>
      <w:r>
        <w:t xml:space="preserve"> result in new entrants. </w:t>
      </w:r>
      <w:r w:rsidR="00A63185">
        <w:t xml:space="preserve">In result, because there is a reasonable possibility of recovery with </w:t>
      </w:r>
      <w:r w:rsidR="00627DCA">
        <w:t>a stabilized market, t</w:t>
      </w:r>
      <w:r>
        <w:t>he continuation of the moratorium maintains the limited commercial value of a permit for current participants in the fishery.</w:t>
      </w:r>
      <w:r>
        <w:rPr>
          <w:rStyle w:val="FootnoteReference"/>
          <w:szCs w:val="24"/>
        </w:rPr>
        <w:footnoteReference w:id="4"/>
      </w:r>
    </w:p>
    <w:p w14:paraId="5C4D9B3B" w14:textId="1B8D951E" w:rsidR="005F6E8B" w:rsidRDefault="00A1498C" w:rsidP="0054054E">
      <w:pPr>
        <w:pStyle w:val="BodyText"/>
      </w:pPr>
      <w:r>
        <w:t xml:space="preserve">At the same time, NMFS’s </w:t>
      </w:r>
      <w:r>
        <w:rPr>
          <w:i/>
          <w:iCs/>
        </w:rPr>
        <w:t xml:space="preserve">Federal Register </w:t>
      </w:r>
      <w:r>
        <w:t>notice understates the current condition of federal Gulf shrimp permit holders. As the agency recognizes, the Gulf Council “established a threshold of 1,072 Gulf shrimp permits in Amendment 17B to the Shrimp [Fishery Management Plan (FMP)] . . .”</w:t>
      </w:r>
      <w:r>
        <w:rPr>
          <w:rStyle w:val="FootnoteReference"/>
          <w:szCs w:val="24"/>
        </w:rPr>
        <w:footnoteReference w:id="5"/>
      </w:r>
      <w:r>
        <w:t xml:space="preserve"> The notice explains that “currently there are approximately 1,200 valid or renewable Gulf shrimp permits.”</w:t>
      </w:r>
      <w:r>
        <w:rPr>
          <w:rStyle w:val="FootnoteReference"/>
          <w:szCs w:val="24"/>
        </w:rPr>
        <w:footnoteReference w:id="6"/>
      </w:r>
      <w:r>
        <w:t xml:space="preserve"> </w:t>
      </w:r>
      <w:r w:rsidR="00627DCA">
        <w:t xml:space="preserve">In fact, </w:t>
      </w:r>
      <w:r>
        <w:t xml:space="preserve">as of the day of publication of the </w:t>
      </w:r>
      <w:r>
        <w:rPr>
          <w:i/>
          <w:iCs/>
        </w:rPr>
        <w:t xml:space="preserve">Federal Register </w:t>
      </w:r>
      <w:r>
        <w:t xml:space="preserve">notice, there </w:t>
      </w:r>
      <w:r w:rsidR="005F6E8B">
        <w:t>were 1,182 “SPGM” permits identified in NMFS’</w:t>
      </w:r>
      <w:r w:rsidR="00627DCA">
        <w:t>s</w:t>
      </w:r>
      <w:r w:rsidR="005F6E8B">
        <w:t xml:space="preserve"> database of Southeast permit holders.</w:t>
      </w:r>
      <w:r w:rsidR="005F6E8B">
        <w:rPr>
          <w:rStyle w:val="FootnoteReference"/>
          <w:szCs w:val="24"/>
        </w:rPr>
        <w:footnoteReference w:id="7"/>
      </w:r>
      <w:r w:rsidR="005F6E8B">
        <w:t xml:space="preserve"> Of these permits, 1,079 </w:t>
      </w:r>
      <w:r w:rsidR="00627DCA">
        <w:t>we</w:t>
      </w:r>
      <w:r w:rsidR="005F6E8B">
        <w:t>re designated as “mailed” (</w:t>
      </w:r>
      <w:r w:rsidR="005F6E8B">
        <w:rPr>
          <w:i/>
          <w:iCs/>
        </w:rPr>
        <w:t>i.e.</w:t>
      </w:r>
      <w:r w:rsidR="005F6E8B">
        <w:t xml:space="preserve">, non-expired), 97 </w:t>
      </w:r>
      <w:r w:rsidR="00627DCA">
        <w:t>we</w:t>
      </w:r>
      <w:r w:rsidR="005F6E8B">
        <w:t xml:space="preserve">re designated as “expired,” and six were designated as “vessel sold.” Five of the 97 “expired” permits were scheduled to terminate on August 31, 2026.  </w:t>
      </w:r>
    </w:p>
    <w:p w14:paraId="42358D1C" w14:textId="556840D4" w:rsidR="00AB21C4" w:rsidRDefault="00AB21C4" w:rsidP="0054054E">
      <w:pPr>
        <w:pStyle w:val="BodyText"/>
      </w:pPr>
      <w:r>
        <w:t>Consistent with the agency’s reporting regarding permits scheduled to terminate, on September 1</w:t>
      </w:r>
      <w:r w:rsidRPr="00AB21C4">
        <w:rPr>
          <w:vertAlign w:val="superscript"/>
        </w:rPr>
        <w:t>st</w:t>
      </w:r>
      <w:r>
        <w:t>, the total number of “SPGM” permits identified in NMFS’</w:t>
      </w:r>
      <w:r w:rsidR="00627DCA">
        <w:t>s</w:t>
      </w:r>
      <w:r>
        <w:t xml:space="preserve"> database </w:t>
      </w:r>
      <w:r w:rsidR="00627DCA">
        <w:t>fell</w:t>
      </w:r>
      <w:r>
        <w:t xml:space="preserve"> by five to 1,177, of which 1,070 </w:t>
      </w:r>
      <w:r w:rsidR="00B9739E">
        <w:t>we</w:t>
      </w:r>
      <w:r>
        <w:t>re designated as “mailed” (</w:t>
      </w:r>
      <w:r>
        <w:rPr>
          <w:i/>
          <w:iCs/>
        </w:rPr>
        <w:t>i.e.</w:t>
      </w:r>
      <w:r>
        <w:t xml:space="preserve">, non-expired), 101 </w:t>
      </w:r>
      <w:r w:rsidR="00B9739E">
        <w:t>we</w:t>
      </w:r>
      <w:r>
        <w:t xml:space="preserve">re designated as “expired,” and six remain designated as “vessel sold.” Six of the 101 “expired” permits are </w:t>
      </w:r>
      <w:r w:rsidR="00627DCA">
        <w:t xml:space="preserve">currently </w:t>
      </w:r>
      <w:r>
        <w:t>scheduled to terminate on September 30</w:t>
      </w:r>
      <w:r w:rsidRPr="00AB21C4">
        <w:rPr>
          <w:vertAlign w:val="superscript"/>
        </w:rPr>
        <w:t>th</w:t>
      </w:r>
      <w:r>
        <w:t>.</w:t>
      </w:r>
      <w:r w:rsidR="00B9739E">
        <w:t xml:space="preserve"> As of today (September 18</w:t>
      </w:r>
      <w:r w:rsidR="00B9739E" w:rsidRPr="00B9739E">
        <w:rPr>
          <w:vertAlign w:val="superscript"/>
        </w:rPr>
        <w:t>th</w:t>
      </w:r>
      <w:r w:rsidR="00B9739E">
        <w:t xml:space="preserve">), some of the “expired” permits have been renewed and are now designated as “mailed,” with current totals </w:t>
      </w:r>
      <w:r w:rsidR="00B9739E">
        <w:lastRenderedPageBreak/>
        <w:t xml:space="preserve">indicating </w:t>
      </w:r>
      <w:r w:rsidR="001A5173">
        <w:t xml:space="preserve">that there are </w:t>
      </w:r>
      <w:r w:rsidR="00B9739E">
        <w:t>1,076 “mailed” permits, 95 “expired” permits, and 6 “vessel sold” designations.</w:t>
      </w:r>
      <w:r>
        <w:t xml:space="preserve">  </w:t>
      </w:r>
    </w:p>
    <w:p w14:paraId="1AA67FB5" w14:textId="6A820A9D" w:rsidR="00A1498C" w:rsidRPr="005F6E8B" w:rsidRDefault="00AB21C4" w:rsidP="0054054E">
      <w:pPr>
        <w:pStyle w:val="BodyText"/>
      </w:pPr>
      <w:r>
        <w:t xml:space="preserve">Accordingly, as of </w:t>
      </w:r>
      <w:r w:rsidRPr="00AB21C4">
        <w:rPr>
          <w:b/>
          <w:bCs/>
          <w:u w:val="single"/>
        </w:rPr>
        <w:t>t</w:t>
      </w:r>
      <w:r w:rsidR="005F6E8B" w:rsidRPr="00AB21C4">
        <w:rPr>
          <w:b/>
          <w:bCs/>
          <w:u w:val="single"/>
        </w:rPr>
        <w:t>oday</w:t>
      </w:r>
      <w:r w:rsidR="005F6E8B">
        <w:t xml:space="preserve">, the agency’s database reports that there are just </w:t>
      </w:r>
      <w:r>
        <w:t>1,07</w:t>
      </w:r>
      <w:r w:rsidR="00B9739E">
        <w:t>6</w:t>
      </w:r>
      <w:r w:rsidR="005F6E8B">
        <w:t xml:space="preserve"> non-expired SPGM permits, </w:t>
      </w:r>
      <w:r w:rsidR="00B9739E">
        <w:t>nearly at</w:t>
      </w:r>
      <w:r w:rsidR="005F6E8B">
        <w:t xml:space="preserve"> the threshold established in Amendment 17B of the Shrimp FMP. Although the </w:t>
      </w:r>
      <w:r w:rsidR="00B9739E">
        <w:t>95</w:t>
      </w:r>
      <w:r w:rsidR="005F6E8B">
        <w:t xml:space="preserve"> “expired” permits may still be renewed before their respective termination dates, the fact that Amendment 19 preliminarily claims that just 691 out of 1,287</w:t>
      </w:r>
      <w:r w:rsidR="00F52B36">
        <w:t xml:space="preserve"> </w:t>
      </w:r>
      <w:r w:rsidR="005F6E8B">
        <w:t>vessels holding SPGMs in 2024 were active</w:t>
      </w:r>
      <w:r w:rsidR="00D46818">
        <w:rPr>
          <w:rStyle w:val="FootnoteReference"/>
          <w:szCs w:val="24"/>
        </w:rPr>
        <w:footnoteReference w:id="8"/>
      </w:r>
      <w:r w:rsidR="005F6E8B">
        <w:t xml:space="preserve"> means that it is</w:t>
      </w:r>
      <w:r w:rsidR="00D46818">
        <w:t xml:space="preserve"> reasonable to conclude that most</w:t>
      </w:r>
      <w:r w:rsidR="00F52B36">
        <w:t>, if not all,</w:t>
      </w:r>
      <w:r w:rsidR="00D46818">
        <w:t xml:space="preserve"> of the “expired” permits will not be renewed</w:t>
      </w:r>
      <w:r w:rsidR="00F52B36">
        <w:t>.</w:t>
      </w:r>
      <w:r w:rsidR="00B9739E">
        <w:t xml:space="preserve"> Moreover, it is even more likely that the six “expired” permits that continue to be scheduled for termination at the end of this month will terminate and the number of non-expired SPGM permits on October 1</w:t>
      </w:r>
      <w:r w:rsidR="00B9739E" w:rsidRPr="00B9739E">
        <w:rPr>
          <w:vertAlign w:val="superscript"/>
        </w:rPr>
        <w:t>st</w:t>
      </w:r>
      <w:r w:rsidR="00B9739E">
        <w:t xml:space="preserve"> will be below the threshold established in Amendment 17B of the Shrimp FMP.</w:t>
      </w:r>
    </w:p>
    <w:p w14:paraId="30B8547C" w14:textId="5BF0D956" w:rsidR="00A9651F" w:rsidRDefault="0043464F" w:rsidP="0054054E">
      <w:pPr>
        <w:pStyle w:val="BodyText"/>
        <w:rPr>
          <w:rFonts w:ascii="Georgia" w:hAnsi="Georgia"/>
        </w:rPr>
      </w:pPr>
      <w:r w:rsidRPr="00F23998">
        <w:t xml:space="preserve">SSA </w:t>
      </w:r>
      <w:r w:rsidR="00A44799">
        <w:t>recognizes that under improved market conditions, u</w:t>
      </w:r>
      <w:r w:rsidRPr="00F23998">
        <w:t xml:space="preserve">nrestricted open access could erase permit value, encourage excess investment, reduce catch per unit effort, and further weaken profitability. </w:t>
      </w:r>
      <w:r w:rsidR="00E12113">
        <w:t>However</w:t>
      </w:r>
      <w:r w:rsidRPr="00F23998">
        <w:t xml:space="preserve">, </w:t>
      </w:r>
      <w:r w:rsidR="00106F61">
        <w:t xml:space="preserve">as currently administered, </w:t>
      </w:r>
      <w:r w:rsidRPr="00F23998">
        <w:t xml:space="preserve">limited access </w:t>
      </w:r>
      <w:r w:rsidR="00106F61">
        <w:t>has now</w:t>
      </w:r>
      <w:r w:rsidRPr="00F23998">
        <w:t xml:space="preserve"> become unmanaged attrition</w:t>
      </w:r>
      <w:r w:rsidR="00106F61">
        <w:t>.</w:t>
      </w:r>
      <w:r w:rsidRPr="00F23998">
        <w:t xml:space="preserve"> A fishery that protects catch efficiency for a steadily shrinking number of permit holders, while losing the fishermen, vessels, processors, and infrastructure necessary to land and market domestic shrimp, is not achieving optimum yield or the greatest overall benefit to the Nation.</w:t>
      </w:r>
      <w:r w:rsidR="00106F61">
        <w:t xml:space="preserve"> Moreover, under this limited access system</w:t>
      </w:r>
      <w:r w:rsidR="00627DCA">
        <w:t>,</w:t>
      </w:r>
      <w:r w:rsidR="00106F61">
        <w:t xml:space="preserve"> complete recovery of the commercial shrimp fishing industry </w:t>
      </w:r>
      <w:r w:rsidR="00D96704">
        <w:t xml:space="preserve">may </w:t>
      </w:r>
      <w:r w:rsidR="00106F61">
        <w:t xml:space="preserve">now </w:t>
      </w:r>
      <w:r w:rsidR="00D96704">
        <w:t xml:space="preserve">be </w:t>
      </w:r>
      <w:r w:rsidR="00106F61">
        <w:t xml:space="preserve">precluded by a cap that is </w:t>
      </w:r>
      <w:r w:rsidR="00D96704">
        <w:t xml:space="preserve">possibly already </w:t>
      </w:r>
      <w:r w:rsidR="00106F61">
        <w:t>below the minimum permit threshold</w:t>
      </w:r>
      <w:r w:rsidR="00106F61" w:rsidRPr="00F23998">
        <w:t>.</w:t>
      </w:r>
    </w:p>
    <w:p w14:paraId="2A8DE4CD" w14:textId="41CEB034" w:rsidR="00A9651F" w:rsidRPr="00F23998" w:rsidRDefault="003B53FD" w:rsidP="0054054E">
      <w:pPr>
        <w:pStyle w:val="BodyText"/>
        <w:rPr>
          <w:rFonts w:ascii="Georgia" w:hAnsi="Georgia"/>
        </w:rPr>
      </w:pPr>
      <w:r>
        <w:t xml:space="preserve">Thus, although </w:t>
      </w:r>
      <w:r w:rsidR="0043464F" w:rsidRPr="00F23998">
        <w:t xml:space="preserve">SSA reaffirms its support for </w:t>
      </w:r>
      <w:r>
        <w:t xml:space="preserve">a commercial shrimp permit moratorium in the Gulf of America, </w:t>
      </w:r>
      <w:r w:rsidR="00627DCA">
        <w:t xml:space="preserve">as further discussed below, </w:t>
      </w:r>
      <w:r>
        <w:t xml:space="preserve">immediate consideration must be given to the </w:t>
      </w:r>
      <w:proofErr w:type="gramStart"/>
      <w:r>
        <w:t>impact of a moratorium</w:t>
      </w:r>
      <w:proofErr w:type="gramEnd"/>
      <w:r>
        <w:t xml:space="preserve"> on the grant of permits below the level of the minimum permit threshold. SSA believes that any</w:t>
      </w:r>
      <w:r w:rsidR="0043464F" w:rsidRPr="00F23998">
        <w:t xml:space="preserve"> final rule </w:t>
      </w:r>
      <w:r>
        <w:t>must</w:t>
      </w:r>
      <w:r w:rsidR="0043464F" w:rsidRPr="00F23998">
        <w:t xml:space="preserve"> be accompanied by prompt measures to </w:t>
      </w:r>
      <w:r w:rsidR="00D96704">
        <w:t xml:space="preserve">convene the review panel described in Amendment 17B </w:t>
      </w:r>
      <w:proofErr w:type="gramStart"/>
      <w:r w:rsidR="00D96704">
        <w:t>in order to</w:t>
      </w:r>
      <w:proofErr w:type="gramEnd"/>
      <w:r w:rsidR="00D96704">
        <w:t xml:space="preserve"> </w:t>
      </w:r>
      <w:r w:rsidR="0043464F" w:rsidRPr="00F23998">
        <w:t>maintain a workable pathway for qualified new entrants</w:t>
      </w:r>
      <w:r>
        <w:t xml:space="preserve"> that maintains the economic value of existing permits</w:t>
      </w:r>
      <w:r w:rsidR="0043464F" w:rsidRPr="00F23998">
        <w:t>.</w:t>
      </w:r>
    </w:p>
    <w:p w14:paraId="208F5874" w14:textId="05BFF8D2" w:rsidR="00A9651F" w:rsidRDefault="0043464F">
      <w:pPr>
        <w:keepNext/>
        <w:spacing w:before="160" w:after="0"/>
        <w:rPr>
          <w:b/>
          <w:color w:val="000000"/>
          <w:szCs w:val="24"/>
        </w:rPr>
      </w:pPr>
      <w:r w:rsidRPr="00F23998">
        <w:rPr>
          <w:b/>
          <w:color w:val="000000"/>
          <w:szCs w:val="24"/>
        </w:rPr>
        <w:t>The record shows substantial and continuing attrition</w:t>
      </w:r>
    </w:p>
    <w:p w14:paraId="364114A9" w14:textId="3DE7A49A" w:rsidR="00A9651F" w:rsidRDefault="0043464F" w:rsidP="0054054E">
      <w:pPr>
        <w:pStyle w:val="BodyText"/>
        <w:rPr>
          <w:rFonts w:ascii="Georgia" w:hAnsi="Georgia"/>
        </w:rPr>
      </w:pPr>
      <w:r w:rsidRPr="00F23998">
        <w:t>The proposed rule and Amendment 19 document a profound contraction of the Gulf shrimp fleet. Approximately 4,000 vessels fished for shrimp annually in federal Gulf waters before 2001.</w:t>
      </w:r>
      <w:r w:rsidR="003B53FD">
        <w:rPr>
          <w:rStyle w:val="FootnoteReference"/>
          <w:szCs w:val="24"/>
        </w:rPr>
        <w:footnoteReference w:id="9"/>
      </w:r>
      <w:r w:rsidR="003B53FD">
        <w:t xml:space="preserve"> Between 2002 and 2006, NMFS issued permits to roughly 2,951 vessels, while issuing just </w:t>
      </w:r>
      <w:r w:rsidRPr="00F23998">
        <w:t xml:space="preserve">1,933 moratorium permits </w:t>
      </w:r>
      <w:r w:rsidR="003B53FD">
        <w:t>in</w:t>
      </w:r>
      <w:r w:rsidRPr="00F23998">
        <w:t xml:space="preserve"> 2008.</w:t>
      </w:r>
      <w:r w:rsidR="003B53FD">
        <w:rPr>
          <w:rStyle w:val="FootnoteReference"/>
          <w:szCs w:val="24"/>
        </w:rPr>
        <w:footnoteReference w:id="10"/>
      </w:r>
      <w:r w:rsidR="003B53FD">
        <w:t xml:space="preserve"> </w:t>
      </w:r>
      <w:r w:rsidR="00D25A7C">
        <w:t xml:space="preserve">Since then, the number of moratorium permits </w:t>
      </w:r>
      <w:r w:rsidR="00D25A7C">
        <w:lastRenderedPageBreak/>
        <w:t xml:space="preserve">has declined inconsistently each year thereafter such that, by </w:t>
      </w:r>
      <w:r w:rsidRPr="00F23998">
        <w:t>2024, only 1,287 permits were valid or renewable.</w:t>
      </w:r>
      <w:r w:rsidR="00D25A7C">
        <w:rPr>
          <w:rStyle w:val="FootnoteReference"/>
          <w:szCs w:val="24"/>
        </w:rPr>
        <w:footnoteReference w:id="11"/>
      </w:r>
    </w:p>
    <w:p w14:paraId="32B2C5A7" w14:textId="6A05EF3E" w:rsidR="00A9651F" w:rsidRPr="00F23998" w:rsidRDefault="00D25A7C" w:rsidP="0054054E">
      <w:pPr>
        <w:pStyle w:val="BodyText"/>
        <w:rPr>
          <w:rFonts w:ascii="Georgia" w:hAnsi="Georgia"/>
        </w:rPr>
      </w:pPr>
      <w:r>
        <w:t xml:space="preserve">As noted above, as of today, NMFS reports that just 1,177 permits are valid or renewable, of which over </w:t>
      </w:r>
      <w:r w:rsidR="00B9739E">
        <w:t>95</w:t>
      </w:r>
      <w:r>
        <w:t xml:space="preserve"> are designated as “expired” but not yet terminated.</w:t>
      </w:r>
      <w:r>
        <w:rPr>
          <w:rStyle w:val="FootnoteReference"/>
          <w:szCs w:val="24"/>
        </w:rPr>
        <w:footnoteReference w:id="12"/>
      </w:r>
      <w:r>
        <w:t xml:space="preserve"> </w:t>
      </w:r>
      <w:r w:rsidR="0043464F" w:rsidRPr="00F23998">
        <w:t>A valid or renewable permit remains a transferable asset and may be sold independently or with a vessel.</w:t>
      </w:r>
      <w:r>
        <w:t xml:space="preserve"> NMFS’</w:t>
      </w:r>
      <w:r w:rsidR="00627DCA">
        <w:t>s</w:t>
      </w:r>
      <w:r>
        <w:t xml:space="preserve"> current practice of automatically terminating permits that have not been renewed has resulted in the permanent removal of nearly 40 percent</w:t>
      </w:r>
      <w:r>
        <w:rPr>
          <w:rStyle w:val="FootnoteReference"/>
          <w:szCs w:val="24"/>
        </w:rPr>
        <w:footnoteReference w:id="13"/>
      </w:r>
      <w:r>
        <w:t xml:space="preserve"> of all </w:t>
      </w:r>
      <w:proofErr w:type="gramStart"/>
      <w:r>
        <w:t>moratorium</w:t>
      </w:r>
      <w:proofErr w:type="gramEnd"/>
      <w:r>
        <w:t xml:space="preserve"> permits in less than two decades.  This practice must now be reassessed. </w:t>
      </w:r>
      <w:r w:rsidR="0043464F" w:rsidRPr="00F23998">
        <w:t>Temporary inactivity</w:t>
      </w:r>
      <w:r>
        <w:t xml:space="preserve"> in commercial shrimping operations, including maintenance of permit status,</w:t>
      </w:r>
      <w:r w:rsidR="0043464F" w:rsidRPr="00F23998">
        <w:t xml:space="preserve"> may reflect retirement planning, vessel repairs, poor market conditions, illness, or other legitimate business circumstances. </w:t>
      </w:r>
      <w:r>
        <w:t xml:space="preserve">Rather than presuming that these permit holders have exited the industry, </w:t>
      </w:r>
      <w:r w:rsidR="00627DCA">
        <w:t xml:space="preserve">consideration should be given to allowing </w:t>
      </w:r>
      <w:r>
        <w:t>expired</w:t>
      </w:r>
      <w:r w:rsidR="0043464F" w:rsidRPr="00F23998">
        <w:t xml:space="preserve"> permits </w:t>
      </w:r>
      <w:r w:rsidR="00627DCA">
        <w:t>to</w:t>
      </w:r>
      <w:r>
        <w:t xml:space="preserve"> </w:t>
      </w:r>
      <w:r w:rsidR="0043464F" w:rsidRPr="00F23998">
        <w:t xml:space="preserve">remain part of the lawful permit pool </w:t>
      </w:r>
      <w:r>
        <w:t>unless affirmatively surrendered</w:t>
      </w:r>
      <w:r w:rsidR="0043464F" w:rsidRPr="00F23998">
        <w:t>.</w:t>
      </w:r>
    </w:p>
    <w:p w14:paraId="0F5562D3" w14:textId="2386D132" w:rsidR="00A9651F" w:rsidRDefault="0043464F" w:rsidP="00C63308">
      <w:pPr>
        <w:keepNext/>
        <w:spacing w:after="0"/>
        <w:rPr>
          <w:b/>
          <w:color w:val="000000"/>
          <w:szCs w:val="24"/>
        </w:rPr>
      </w:pPr>
      <w:r w:rsidRPr="00F23998">
        <w:rPr>
          <w:b/>
          <w:color w:val="000000"/>
          <w:szCs w:val="24"/>
        </w:rPr>
        <w:t>The existing threshold process requires immediate attention</w:t>
      </w:r>
    </w:p>
    <w:p w14:paraId="0FE39E97" w14:textId="6F048288" w:rsidR="00D25A7C" w:rsidRDefault="0043464F" w:rsidP="0054054E">
      <w:pPr>
        <w:pStyle w:val="BodyText"/>
      </w:pPr>
      <w:r w:rsidRPr="00F23998">
        <w:t>Amendment 17B established a minimum threshold of 1,072 valid or renewable permits and directed that a review panel convene when the number reaches 1,175.</w:t>
      </w:r>
      <w:r w:rsidR="0054054E">
        <w:rPr>
          <w:rStyle w:val="FootnoteReference"/>
          <w:szCs w:val="24"/>
        </w:rPr>
        <w:footnoteReference w:id="14"/>
      </w:r>
      <w:r w:rsidRPr="00F23998">
        <w:t xml:space="preserve"> </w:t>
      </w:r>
      <w:r w:rsidR="00D25A7C">
        <w:t>Again, as of today, the number of permits that are valid or renewable</w:t>
      </w:r>
      <w:r w:rsidR="0054054E">
        <w:t xml:space="preserve"> is 1,177. That total will fall below 1,175 at the end of this month. Accordingly, the </w:t>
      </w:r>
      <w:r w:rsidR="0054054E" w:rsidRPr="00F23998">
        <w:t xml:space="preserve">trigger for reviewing the threshold, the reserve pool, and other management measures </w:t>
      </w:r>
      <w:r w:rsidR="0054054E">
        <w:t>will be</w:t>
      </w:r>
      <w:r w:rsidR="0054054E" w:rsidRPr="00F23998">
        <w:t xml:space="preserve"> reached</w:t>
      </w:r>
      <w:r w:rsidR="0054054E">
        <w:t xml:space="preserve"> prior to the expiration of the current moratorium</w:t>
      </w:r>
      <w:r w:rsidR="00627DCA">
        <w:t>, regardless of any extension</w:t>
      </w:r>
      <w:r w:rsidR="0054054E">
        <w:t>.</w:t>
      </w:r>
    </w:p>
    <w:p w14:paraId="6EF91218" w14:textId="1B108B6D" w:rsidR="0054054E" w:rsidRDefault="0054054E" w:rsidP="0054054E">
      <w:pPr>
        <w:pStyle w:val="BodyText"/>
      </w:pPr>
      <w:r w:rsidRPr="00F23998">
        <w:t>SSA therefore requests that NMFS and the Council convene the review panel described in Amendment 17B. The panel should perform the functions already assigned to it: review whether the 1,072 threshold remains appropriate, examine the details needed for the reserve pool, and consider other management measures before the minimum threshold is reached.</w:t>
      </w:r>
    </w:p>
    <w:p w14:paraId="033E9B67" w14:textId="118A1E10" w:rsidR="00A9651F" w:rsidRDefault="0054054E">
      <w:pPr>
        <w:keepNext/>
        <w:spacing w:before="160" w:after="0"/>
        <w:rPr>
          <w:b/>
          <w:color w:val="000000"/>
          <w:szCs w:val="24"/>
        </w:rPr>
      </w:pPr>
      <w:r>
        <w:rPr>
          <w:b/>
          <w:color w:val="000000"/>
          <w:szCs w:val="24"/>
        </w:rPr>
        <w:t>Any</w:t>
      </w:r>
      <w:r w:rsidR="0043464F" w:rsidRPr="00F23998">
        <w:rPr>
          <w:b/>
          <w:color w:val="000000"/>
          <w:szCs w:val="24"/>
        </w:rPr>
        <w:t xml:space="preserve"> extension should be paired with active oversight</w:t>
      </w:r>
    </w:p>
    <w:p w14:paraId="13DC6383" w14:textId="67F0DFA7" w:rsidR="00A9651F" w:rsidRDefault="0043464F" w:rsidP="0054054E">
      <w:pPr>
        <w:pStyle w:val="BodyText"/>
        <w:rPr>
          <w:rFonts w:ascii="Georgia" w:hAnsi="Georgia"/>
        </w:rPr>
      </w:pPr>
      <w:r w:rsidRPr="00F23998">
        <w:t>NMFS acknowledges that the proposed extension would increase barriers to entry.</w:t>
      </w:r>
      <w:r w:rsidR="0054054E">
        <w:t xml:space="preserve"> The federal agency</w:t>
      </w:r>
      <w:r w:rsidRPr="00F23998">
        <w:t xml:space="preserve"> also acknowledges that Gulf shrimp stocks are </w:t>
      </w:r>
      <w:proofErr w:type="gramStart"/>
      <w:r w:rsidRPr="00F23998">
        <w:t>healthy</w:t>
      </w:r>
      <w:proofErr w:type="gramEnd"/>
      <w:r w:rsidRPr="00F23998">
        <w:t xml:space="preserve"> and that deteriorating fleet economics are driven principally by non-regulatory forces, including depressed shrimp prices, foreign competition</w:t>
      </w:r>
      <w:r w:rsidR="00627DCA">
        <w:t xml:space="preserve"> from unfairly-traded imports</w:t>
      </w:r>
      <w:r w:rsidRPr="00F23998">
        <w:t>, and rising operating costs.</w:t>
      </w:r>
      <w:r w:rsidR="0054054E">
        <w:t xml:space="preserve"> </w:t>
      </w:r>
      <w:r w:rsidRPr="00F23998">
        <w:t>In 2023,</w:t>
      </w:r>
      <w:r w:rsidR="0054054E">
        <w:t xml:space="preserve"> when unfairly-traded imports were materially injuring the domestic industry,</w:t>
      </w:r>
      <w:r w:rsidRPr="00F23998">
        <w:t xml:space="preserve"> the proposed rule reports average net cash flow of negative $4,885 per vessel and average net operating revenue of negative $14,635 per vessel. Those conditions do not justify </w:t>
      </w:r>
      <w:r w:rsidR="0054054E">
        <w:t>operating under any assumption</w:t>
      </w:r>
      <w:r w:rsidRPr="00F23998">
        <w:t xml:space="preserve"> that passive consolidation will </w:t>
      </w:r>
      <w:r w:rsidR="0054054E">
        <w:t>result in the</w:t>
      </w:r>
      <w:r w:rsidRPr="00F23998">
        <w:t xml:space="preserve"> industry</w:t>
      </w:r>
      <w:r w:rsidR="0054054E">
        <w:t xml:space="preserve"> eventually returning to economic health</w:t>
      </w:r>
      <w:r w:rsidRPr="00F23998">
        <w:t>.</w:t>
      </w:r>
    </w:p>
    <w:p w14:paraId="08E248B3" w14:textId="69B74CB6" w:rsidR="00A9651F" w:rsidRPr="00F23998" w:rsidRDefault="0043464F" w:rsidP="00FF0B4B">
      <w:pPr>
        <w:pStyle w:val="BodyText"/>
        <w:rPr>
          <w:rFonts w:ascii="Georgia" w:hAnsi="Georgia"/>
        </w:rPr>
      </w:pPr>
      <w:r w:rsidRPr="00F23998">
        <w:lastRenderedPageBreak/>
        <w:t xml:space="preserve">SSA nevertheless continues to support </w:t>
      </w:r>
      <w:r w:rsidR="00FF0B4B">
        <w:t xml:space="preserve">an </w:t>
      </w:r>
      <w:r w:rsidRPr="00F23998">
        <w:t>extension</w:t>
      </w:r>
      <w:r w:rsidR="00FF0B4B">
        <w:t xml:space="preserve"> of the moratorium</w:t>
      </w:r>
      <w:r w:rsidRPr="00F23998">
        <w:t xml:space="preserve"> because open access could erase the value of existing permits, including permits held by participants who are not currently fishing and permits sold in tandem with vessels. It could also encourage overcapitalization if market conditions improve</w:t>
      </w:r>
      <w:r w:rsidR="00627DCA">
        <w:t xml:space="preserve">, while also </w:t>
      </w:r>
      <w:r w:rsidRPr="00F23998">
        <w:t>reduc</w:t>
      </w:r>
      <w:r w:rsidR="00627DCA">
        <w:t>ing</w:t>
      </w:r>
      <w:r w:rsidRPr="00F23998">
        <w:t xml:space="preserve"> catch per unit effort and fleet profitability. A</w:t>
      </w:r>
      <w:r w:rsidR="00FF0B4B">
        <w:t>n</w:t>
      </w:r>
      <w:r w:rsidRPr="00F23998">
        <w:t xml:space="preserve"> extension provides regulatory stability while the Amendment 17B review panel reassesses the minimum permit threshold. </w:t>
      </w:r>
      <w:r w:rsidR="00FF0B4B">
        <w:t>However, this regulatory</w:t>
      </w:r>
      <w:r w:rsidRPr="00F23998">
        <w:t xml:space="preserve"> stability </w:t>
      </w:r>
      <w:r w:rsidR="00FF0B4B">
        <w:t>must</w:t>
      </w:r>
      <w:r w:rsidRPr="00F23998">
        <w:t xml:space="preserve"> not be mistaken for </w:t>
      </w:r>
      <w:r w:rsidR="00FF0B4B">
        <w:t>an excuse</w:t>
      </w:r>
      <w:r w:rsidRPr="00F23998">
        <w:t xml:space="preserve"> to </w:t>
      </w:r>
      <w:r w:rsidR="008E1B95">
        <w:t>avoid</w:t>
      </w:r>
      <w:r w:rsidR="00FF0B4B">
        <w:t xml:space="preserve"> expeditiously conduct</w:t>
      </w:r>
      <w:r w:rsidR="008E1B95">
        <w:t>ing</w:t>
      </w:r>
      <w:r w:rsidR="00FF0B4B">
        <w:t xml:space="preserve"> a review of the stated minimum permit threshold</w:t>
      </w:r>
      <w:r w:rsidRPr="00F23998">
        <w:t>.</w:t>
      </w:r>
    </w:p>
    <w:p w14:paraId="6C0BB6AB" w14:textId="77777777" w:rsidR="00A9651F" w:rsidRDefault="0043464F">
      <w:pPr>
        <w:keepNext/>
        <w:spacing w:before="160" w:after="0"/>
        <w:rPr>
          <w:b/>
          <w:color w:val="000000"/>
          <w:szCs w:val="24"/>
        </w:rPr>
      </w:pPr>
      <w:r w:rsidRPr="00F23998">
        <w:rPr>
          <w:b/>
          <w:color w:val="000000"/>
          <w:szCs w:val="24"/>
        </w:rPr>
        <w:t>New entrants and succession must be addressed</w:t>
      </w:r>
    </w:p>
    <w:p w14:paraId="186BAE71" w14:textId="0924F023" w:rsidR="00A9651F" w:rsidRDefault="0043464F" w:rsidP="00FF0B4B">
      <w:pPr>
        <w:pStyle w:val="BodyText"/>
        <w:rPr>
          <w:rFonts w:ascii="Georgia" w:hAnsi="Georgia"/>
        </w:rPr>
      </w:pPr>
      <w:r w:rsidRPr="00F23998">
        <w:t xml:space="preserve">Permit transferability </w:t>
      </w:r>
      <w:r w:rsidR="008E1B95">
        <w:t>allows for</w:t>
      </w:r>
      <w:r w:rsidRPr="00F23998">
        <w:t xml:space="preserve"> entry in a technical sense, but it does not by itself provide a succession policy. NOAA reports a median permit transfer price of $5,250 from 2022 through 2024, but permit price is only one component of entry. A new fisherman must also acquire or finance a vessel and gear, obtain insurance, hire and retain crew, purchase fuel, obtain dock access, and operate in a market overwhelmed by low-priced imports. The aging of the existing fleet and the loss of multigenerational fishing businesses make these barriers especially consequential.</w:t>
      </w:r>
    </w:p>
    <w:p w14:paraId="760FE350" w14:textId="3C93BCBC" w:rsidR="00A9651F" w:rsidRDefault="0043464F" w:rsidP="00FF0B4B">
      <w:pPr>
        <w:pStyle w:val="BodyText"/>
        <w:rPr>
          <w:rFonts w:ascii="Georgia" w:hAnsi="Georgia"/>
        </w:rPr>
      </w:pPr>
      <w:r w:rsidRPr="00F23998">
        <w:t xml:space="preserve">NMFS must evaluate whether current permit availability and transfer practices will allow younger fishermen, experienced crew members, and family successors to replace retiring operators. The agency should not equate the theoretical availability of a </w:t>
      </w:r>
      <w:proofErr w:type="gramStart"/>
      <w:r w:rsidRPr="00F23998">
        <w:t>transferable</w:t>
      </w:r>
      <w:proofErr w:type="gramEnd"/>
      <w:r w:rsidRPr="00F23998">
        <w:t xml:space="preserve"> permit with a functioning pathway into the fishery.</w:t>
      </w:r>
    </w:p>
    <w:p w14:paraId="5A907217" w14:textId="141C0869" w:rsidR="00A9651F" w:rsidRPr="00F23998" w:rsidRDefault="0043464F" w:rsidP="00FF0B4B">
      <w:pPr>
        <w:pStyle w:val="BodyText"/>
        <w:rPr>
          <w:rFonts w:ascii="Georgia" w:hAnsi="Georgia"/>
        </w:rPr>
      </w:pPr>
      <w:r w:rsidRPr="00F23998">
        <w:t>Any measures addressing entry or succession must respect existing permit ownership. Entry should continue through voluntary transfers, together with any reserve-pool process ultimately implemented under Amendment 17B for permits that have passed the renewal period and otherwise would be terminated.</w:t>
      </w:r>
    </w:p>
    <w:p w14:paraId="7275CA46" w14:textId="7D95A808" w:rsidR="00A9651F" w:rsidRPr="00F23998" w:rsidRDefault="0043464F">
      <w:pPr>
        <w:keepNext/>
        <w:spacing w:before="160" w:after="0"/>
        <w:rPr>
          <w:rFonts w:ascii="Georgia" w:hAnsi="Georgia"/>
          <w:szCs w:val="24"/>
        </w:rPr>
      </w:pPr>
      <w:r w:rsidRPr="00F23998">
        <w:rPr>
          <w:b/>
          <w:color w:val="000000"/>
          <w:szCs w:val="24"/>
        </w:rPr>
        <w:t>SSA recommendations</w:t>
      </w:r>
    </w:p>
    <w:p w14:paraId="0C37ED09" w14:textId="77777777" w:rsidR="00E0566C" w:rsidRPr="00E0566C" w:rsidRDefault="0043464F" w:rsidP="00E0566C">
      <w:pPr>
        <w:pStyle w:val="ListNumber"/>
        <w:numPr>
          <w:ilvl w:val="0"/>
          <w:numId w:val="19"/>
        </w:numPr>
        <w:spacing w:after="120"/>
        <w:contextualSpacing w:val="0"/>
        <w:rPr>
          <w:rFonts w:ascii="Georgia" w:hAnsi="Georgia"/>
          <w:szCs w:val="24"/>
        </w:rPr>
      </w:pPr>
      <w:r w:rsidRPr="00F23998">
        <w:rPr>
          <w:b/>
          <w:szCs w:val="24"/>
        </w:rPr>
        <w:t xml:space="preserve">Adopt </w:t>
      </w:r>
      <w:r w:rsidR="00FF0B4B">
        <w:rPr>
          <w:b/>
          <w:szCs w:val="24"/>
        </w:rPr>
        <w:t>an</w:t>
      </w:r>
      <w:r w:rsidRPr="00F23998">
        <w:rPr>
          <w:b/>
          <w:szCs w:val="24"/>
        </w:rPr>
        <w:t xml:space="preserve"> extension. </w:t>
      </w:r>
      <w:r w:rsidRPr="00F23998">
        <w:rPr>
          <w:szCs w:val="24"/>
        </w:rPr>
        <w:t>Extend the moratorium to prevent a return to open access, protect permit value, maintain historical effort limits, and provide stability while the Council reassesses the permit threshold.</w:t>
      </w:r>
      <w:r w:rsidR="00E0566C">
        <w:rPr>
          <w:szCs w:val="24"/>
        </w:rPr>
        <w:t xml:space="preserve"> </w:t>
      </w:r>
    </w:p>
    <w:p w14:paraId="3CFBBEE2" w14:textId="77777777" w:rsidR="00E0566C" w:rsidRPr="00E0566C" w:rsidRDefault="0043464F" w:rsidP="00E0566C">
      <w:pPr>
        <w:pStyle w:val="ListNumber"/>
        <w:numPr>
          <w:ilvl w:val="0"/>
          <w:numId w:val="19"/>
        </w:numPr>
        <w:spacing w:after="120"/>
        <w:contextualSpacing w:val="0"/>
        <w:rPr>
          <w:rFonts w:ascii="Georgia" w:hAnsi="Georgia"/>
          <w:szCs w:val="24"/>
        </w:rPr>
      </w:pPr>
      <w:r w:rsidRPr="00E0566C">
        <w:rPr>
          <w:b/>
          <w:szCs w:val="24"/>
        </w:rPr>
        <w:t xml:space="preserve">Convene the review panel described in Amendment 17B. </w:t>
      </w:r>
      <w:r w:rsidRPr="00E0566C">
        <w:rPr>
          <w:szCs w:val="24"/>
        </w:rPr>
        <w:t xml:space="preserve">Because the current permit estimate is already </w:t>
      </w:r>
      <w:r w:rsidR="00FF0B4B" w:rsidRPr="00E0566C">
        <w:rPr>
          <w:szCs w:val="24"/>
        </w:rPr>
        <w:t>at</w:t>
      </w:r>
      <w:r w:rsidRPr="00E0566C">
        <w:rPr>
          <w:szCs w:val="24"/>
        </w:rPr>
        <w:t xml:space="preserve"> the 1,175 trigger, NMFS and the Council should convene the existing Amendment 17B panel to review the 1,072 threshold, the details of the reserve pool, and other appropriate management measures before the minimum is reached.</w:t>
      </w:r>
      <w:r w:rsidR="00E0566C">
        <w:rPr>
          <w:szCs w:val="24"/>
        </w:rPr>
        <w:t xml:space="preserve"> </w:t>
      </w:r>
    </w:p>
    <w:p w14:paraId="67EE677B" w14:textId="77777777" w:rsidR="00E0566C" w:rsidRPr="00E0566C" w:rsidRDefault="0043464F" w:rsidP="00E0566C">
      <w:pPr>
        <w:pStyle w:val="ListNumber"/>
        <w:numPr>
          <w:ilvl w:val="0"/>
          <w:numId w:val="19"/>
        </w:numPr>
        <w:spacing w:after="120"/>
        <w:contextualSpacing w:val="0"/>
        <w:rPr>
          <w:rFonts w:ascii="Georgia" w:hAnsi="Georgia"/>
          <w:szCs w:val="24"/>
        </w:rPr>
      </w:pPr>
      <w:r w:rsidRPr="00E0566C">
        <w:rPr>
          <w:b/>
          <w:szCs w:val="24"/>
        </w:rPr>
        <w:t xml:space="preserve">Direct the panel to reassess the 1,072 threshold. </w:t>
      </w:r>
      <w:r w:rsidRPr="00E0566C">
        <w:rPr>
          <w:szCs w:val="24"/>
        </w:rPr>
        <w:t>The Amendment 17B panel should use current shrimp landings, effort, catch per unit effort, vessel economics, geographic coverage, processing capacity, working-waterfront needs, and the best available bycatch data. Active-vessel data should inform the analysis but should not be used to reduce the rights or value of valid or renewable permits held by non-active participants.</w:t>
      </w:r>
      <w:r w:rsidR="00E0566C">
        <w:rPr>
          <w:szCs w:val="24"/>
        </w:rPr>
        <w:t xml:space="preserve"> </w:t>
      </w:r>
    </w:p>
    <w:p w14:paraId="0C2F1ED3" w14:textId="77777777" w:rsidR="00E0566C" w:rsidRPr="00E0566C" w:rsidRDefault="0043464F" w:rsidP="00E0566C">
      <w:pPr>
        <w:pStyle w:val="ListNumber"/>
        <w:numPr>
          <w:ilvl w:val="0"/>
          <w:numId w:val="19"/>
        </w:numPr>
        <w:spacing w:after="120"/>
        <w:contextualSpacing w:val="0"/>
        <w:rPr>
          <w:rFonts w:ascii="Georgia" w:hAnsi="Georgia"/>
          <w:szCs w:val="24"/>
        </w:rPr>
      </w:pPr>
      <w:r w:rsidRPr="00F23998">
        <w:rPr>
          <w:b/>
          <w:szCs w:val="24"/>
        </w:rPr>
        <w:t>Prepare the Amendment 17B reserve pool.</w:t>
      </w:r>
      <w:r w:rsidR="00232464">
        <w:rPr>
          <w:b/>
          <w:szCs w:val="24"/>
        </w:rPr>
        <w:t xml:space="preserve"> </w:t>
      </w:r>
      <w:r w:rsidRPr="00F23998">
        <w:rPr>
          <w:szCs w:val="24"/>
        </w:rPr>
        <w:t xml:space="preserve">The panel should complete the reserve-pool details contemplated by Amendment </w:t>
      </w:r>
      <w:proofErr w:type="gramStart"/>
      <w:r w:rsidRPr="00F23998">
        <w:rPr>
          <w:szCs w:val="24"/>
        </w:rPr>
        <w:t>17B</w:t>
      </w:r>
      <w:proofErr w:type="gramEnd"/>
      <w:r w:rsidRPr="00F23998">
        <w:rPr>
          <w:szCs w:val="24"/>
        </w:rPr>
        <w:t xml:space="preserve"> so the process is ready if the permit total reaches 1,072.</w:t>
      </w:r>
      <w:r w:rsidR="00E0566C">
        <w:rPr>
          <w:szCs w:val="24"/>
        </w:rPr>
        <w:t xml:space="preserve"> </w:t>
      </w:r>
    </w:p>
    <w:p w14:paraId="13394162" w14:textId="276FEEF6" w:rsidR="00E0566C" w:rsidRPr="00E0566C" w:rsidRDefault="0043464F" w:rsidP="00E0566C">
      <w:pPr>
        <w:pStyle w:val="ListNumber"/>
        <w:numPr>
          <w:ilvl w:val="0"/>
          <w:numId w:val="19"/>
        </w:numPr>
        <w:spacing w:after="120"/>
        <w:contextualSpacing w:val="0"/>
        <w:rPr>
          <w:rFonts w:ascii="Georgia" w:hAnsi="Georgia"/>
          <w:szCs w:val="24"/>
        </w:rPr>
      </w:pPr>
      <w:r w:rsidRPr="00F23998">
        <w:rPr>
          <w:b/>
          <w:szCs w:val="24"/>
        </w:rPr>
        <w:lastRenderedPageBreak/>
        <w:t xml:space="preserve">Report </w:t>
      </w:r>
      <w:proofErr w:type="gramStart"/>
      <w:r w:rsidRPr="00F23998">
        <w:rPr>
          <w:b/>
          <w:szCs w:val="24"/>
        </w:rPr>
        <w:t>permit</w:t>
      </w:r>
      <w:proofErr w:type="gramEnd"/>
      <w:r w:rsidRPr="00F23998">
        <w:rPr>
          <w:b/>
          <w:szCs w:val="24"/>
        </w:rPr>
        <w:t xml:space="preserve"> status and active participation separately. </w:t>
      </w:r>
      <w:r w:rsidRPr="00F23998">
        <w:rPr>
          <w:szCs w:val="24"/>
        </w:rPr>
        <w:t xml:space="preserve">Publish annual counts of valid, renewable, active, transferred, expired, terminated, and reserve-pool permits, together with </w:t>
      </w:r>
      <w:r w:rsidR="00232464">
        <w:rPr>
          <w:szCs w:val="24"/>
        </w:rPr>
        <w:t xml:space="preserve">total, cumulative </w:t>
      </w:r>
      <w:r w:rsidRPr="00F23998">
        <w:rPr>
          <w:szCs w:val="24"/>
        </w:rPr>
        <w:t>landings and days fished. NMFS should reconcile SERO records with trip-ticket data.</w:t>
      </w:r>
      <w:r w:rsidR="00E0566C">
        <w:rPr>
          <w:szCs w:val="24"/>
        </w:rPr>
        <w:t xml:space="preserve"> </w:t>
      </w:r>
    </w:p>
    <w:p w14:paraId="6351F228" w14:textId="77777777" w:rsidR="00E0566C" w:rsidRDefault="0043464F" w:rsidP="00E0566C">
      <w:pPr>
        <w:pStyle w:val="ListNumber"/>
        <w:numPr>
          <w:ilvl w:val="0"/>
          <w:numId w:val="19"/>
        </w:numPr>
        <w:spacing w:after="120"/>
        <w:contextualSpacing w:val="0"/>
        <w:rPr>
          <w:rFonts w:ascii="Georgia" w:hAnsi="Georgia"/>
          <w:szCs w:val="24"/>
        </w:rPr>
      </w:pPr>
      <w:r w:rsidRPr="00F23998">
        <w:rPr>
          <w:b/>
          <w:szCs w:val="24"/>
        </w:rPr>
        <w:t xml:space="preserve">Evaluate the entire domestic supply chain. </w:t>
      </w:r>
      <w:r w:rsidRPr="00F23998">
        <w:rPr>
          <w:szCs w:val="24"/>
        </w:rPr>
        <w:t>Assess impacts on processors, docks, ice and fuel suppliers, vessel repair businesses, dealers, and coastal communities. The proposed rule</w:t>
      </w:r>
      <w:r w:rsidR="00232464">
        <w:rPr>
          <w:szCs w:val="24"/>
        </w:rPr>
        <w:t>’</w:t>
      </w:r>
      <w:r w:rsidRPr="00F23998">
        <w:rPr>
          <w:szCs w:val="24"/>
        </w:rPr>
        <w:t>s analysis should not dismiss these consequences merely because they are characterized as indirect under the Regulatory Flexibility Act.</w:t>
      </w:r>
      <w:r w:rsidR="00E0566C">
        <w:rPr>
          <w:rFonts w:ascii="Georgia" w:hAnsi="Georgia"/>
          <w:szCs w:val="24"/>
        </w:rPr>
        <w:t xml:space="preserve"> </w:t>
      </w:r>
    </w:p>
    <w:p w14:paraId="48716C40" w14:textId="77777777" w:rsidR="00E0566C" w:rsidRDefault="0043464F" w:rsidP="00E0566C">
      <w:pPr>
        <w:pStyle w:val="ListNumber"/>
        <w:numPr>
          <w:ilvl w:val="0"/>
          <w:numId w:val="19"/>
        </w:numPr>
        <w:spacing w:after="120"/>
        <w:contextualSpacing w:val="0"/>
        <w:rPr>
          <w:rFonts w:ascii="Georgia" w:hAnsi="Georgia"/>
          <w:szCs w:val="24"/>
        </w:rPr>
      </w:pPr>
      <w:r w:rsidRPr="00F23998">
        <w:rPr>
          <w:b/>
          <w:szCs w:val="24"/>
        </w:rPr>
        <w:t xml:space="preserve">Conduct a genuine new-entrant and succession analysis. </w:t>
      </w:r>
      <w:r w:rsidRPr="00F23998">
        <w:rPr>
          <w:szCs w:val="24"/>
        </w:rPr>
        <w:t>Survey fleet age, retirement expectations, crew-to-owner pathways, vessel and insurance costs, financing constraints, permit availability, and regional access. The analysis should distinguish paper availability from practical accessibility</w:t>
      </w:r>
      <w:r w:rsidR="00C63308">
        <w:rPr>
          <w:szCs w:val="24"/>
        </w:rPr>
        <w:t>.</w:t>
      </w:r>
      <w:r w:rsidR="00E0566C">
        <w:rPr>
          <w:rFonts w:ascii="Georgia" w:hAnsi="Georgia"/>
          <w:szCs w:val="24"/>
        </w:rPr>
        <w:t xml:space="preserve"> </w:t>
      </w:r>
    </w:p>
    <w:p w14:paraId="778AEB40" w14:textId="77777777" w:rsidR="00E0566C" w:rsidRDefault="0043464F" w:rsidP="00E0566C">
      <w:pPr>
        <w:pStyle w:val="ListNumber"/>
        <w:numPr>
          <w:ilvl w:val="0"/>
          <w:numId w:val="19"/>
        </w:numPr>
        <w:spacing w:after="120"/>
        <w:contextualSpacing w:val="0"/>
        <w:rPr>
          <w:rFonts w:ascii="Georgia" w:hAnsi="Georgia"/>
          <w:szCs w:val="24"/>
        </w:rPr>
      </w:pPr>
      <w:r w:rsidRPr="00F23998">
        <w:rPr>
          <w:b/>
          <w:szCs w:val="24"/>
        </w:rPr>
        <w:t xml:space="preserve">Require an interim review. </w:t>
      </w:r>
      <w:r w:rsidRPr="00F23998">
        <w:rPr>
          <w:szCs w:val="24"/>
        </w:rPr>
        <w:t xml:space="preserve">Although the moratorium </w:t>
      </w:r>
      <w:r w:rsidR="00232464">
        <w:rPr>
          <w:szCs w:val="24"/>
        </w:rPr>
        <w:t>should be extended</w:t>
      </w:r>
      <w:r w:rsidRPr="00F23998">
        <w:rPr>
          <w:szCs w:val="24"/>
        </w:rPr>
        <w:t xml:space="preserve">, </w:t>
      </w:r>
      <w:r w:rsidR="00232464">
        <w:rPr>
          <w:szCs w:val="24"/>
        </w:rPr>
        <w:t xml:space="preserve">because we are at the minimum permit threshold, </w:t>
      </w:r>
      <w:r w:rsidRPr="00F23998">
        <w:rPr>
          <w:szCs w:val="24"/>
        </w:rPr>
        <w:t xml:space="preserve">complete a formal public review </w:t>
      </w:r>
      <w:r w:rsidR="00232464">
        <w:rPr>
          <w:szCs w:val="24"/>
        </w:rPr>
        <w:t xml:space="preserve">as soon as possible </w:t>
      </w:r>
      <w:r w:rsidRPr="00F23998">
        <w:rPr>
          <w:szCs w:val="24"/>
        </w:rPr>
        <w:t>to determine whether the threshold, reserve pool, reissuance rules, or other provisions should be changed.</w:t>
      </w:r>
      <w:r w:rsidR="00E0566C">
        <w:rPr>
          <w:rFonts w:ascii="Georgia" w:hAnsi="Georgia"/>
          <w:szCs w:val="24"/>
        </w:rPr>
        <w:t xml:space="preserve"> </w:t>
      </w:r>
    </w:p>
    <w:p w14:paraId="3CB73EC2" w14:textId="4252A4D9" w:rsidR="00A9651F" w:rsidRPr="00F23998" w:rsidRDefault="0043464F" w:rsidP="00E0566C">
      <w:pPr>
        <w:pStyle w:val="ListNumber"/>
        <w:numPr>
          <w:ilvl w:val="0"/>
          <w:numId w:val="19"/>
        </w:numPr>
        <w:spacing w:after="120"/>
        <w:contextualSpacing w:val="0"/>
        <w:rPr>
          <w:rFonts w:ascii="Georgia" w:hAnsi="Georgia"/>
          <w:szCs w:val="24"/>
        </w:rPr>
      </w:pPr>
      <w:r w:rsidRPr="00F23998">
        <w:rPr>
          <w:b/>
          <w:szCs w:val="24"/>
        </w:rPr>
        <w:t xml:space="preserve">Preserve adaptive authority. </w:t>
      </w:r>
      <w:r w:rsidRPr="00F23998">
        <w:rPr>
          <w:szCs w:val="24"/>
        </w:rPr>
        <w:t xml:space="preserve">State clearly in the final rule that the Council may revise the threshold, activate or expand the reserve pool, reissue permits, or otherwise modify the program before </w:t>
      </w:r>
      <w:r w:rsidR="00232464">
        <w:rPr>
          <w:szCs w:val="24"/>
        </w:rPr>
        <w:t>the moratorium’s extension concludes</w:t>
      </w:r>
      <w:r w:rsidRPr="00F23998">
        <w:rPr>
          <w:szCs w:val="24"/>
        </w:rPr>
        <w:t xml:space="preserve"> if participation, domestic production, infrastructure, or community viability deteriorates.</w:t>
      </w:r>
    </w:p>
    <w:p w14:paraId="5CEF64E7" w14:textId="2C859755" w:rsidR="00A9651F" w:rsidRDefault="0043464F" w:rsidP="00232464">
      <w:pPr>
        <w:keepNext/>
        <w:spacing w:after="0"/>
        <w:rPr>
          <w:b/>
          <w:color w:val="000000"/>
          <w:szCs w:val="24"/>
        </w:rPr>
      </w:pPr>
      <w:r w:rsidRPr="00F23998">
        <w:rPr>
          <w:b/>
          <w:color w:val="000000"/>
          <w:szCs w:val="24"/>
        </w:rPr>
        <w:t>Conclusion</w:t>
      </w:r>
    </w:p>
    <w:p w14:paraId="66FED63F" w14:textId="49B7C985" w:rsidR="00A9651F" w:rsidRDefault="0043464F" w:rsidP="00232464">
      <w:pPr>
        <w:pStyle w:val="BodyText"/>
        <w:rPr>
          <w:rFonts w:ascii="Georgia" w:hAnsi="Georgia"/>
        </w:rPr>
      </w:pPr>
      <w:r w:rsidRPr="00F23998">
        <w:t xml:space="preserve">SSA supports </w:t>
      </w:r>
      <w:proofErr w:type="gramStart"/>
      <w:r w:rsidRPr="00F23998">
        <w:t>preventing a return to</w:t>
      </w:r>
      <w:proofErr w:type="gramEnd"/>
      <w:r w:rsidRPr="00F23998">
        <w:t xml:space="preserve"> uncontrolled overcapacity, but fisheries management must balance catch efficiency with the survival, renewal, and productive capacity of the domestic shrimp industry. Gulf shrimp stocks are healthy, while</w:t>
      </w:r>
      <w:r w:rsidR="00232464">
        <w:t xml:space="preserve"> unfairly-traded</w:t>
      </w:r>
      <w:r w:rsidRPr="00F23998">
        <w:t xml:space="preserve"> imports and operating costs are driving vessels from the fishery. Under these circumstances, continued permit attrition should not be treated as an unqualified economic benefit.</w:t>
      </w:r>
    </w:p>
    <w:p w14:paraId="596E110B" w14:textId="2ABAC01F" w:rsidR="00A9651F" w:rsidRDefault="0043464F" w:rsidP="00232464">
      <w:pPr>
        <w:ind w:firstLine="720"/>
        <w:rPr>
          <w:rFonts w:ascii="Georgia" w:hAnsi="Georgia"/>
          <w:szCs w:val="24"/>
        </w:rPr>
      </w:pPr>
      <w:r w:rsidRPr="00F23998">
        <w:rPr>
          <w:szCs w:val="24"/>
        </w:rPr>
        <w:t xml:space="preserve">NMFS should adopt </w:t>
      </w:r>
      <w:r w:rsidR="00232464">
        <w:rPr>
          <w:szCs w:val="24"/>
        </w:rPr>
        <w:t>an</w:t>
      </w:r>
      <w:r w:rsidRPr="00F23998">
        <w:rPr>
          <w:szCs w:val="24"/>
        </w:rPr>
        <w:t xml:space="preserve"> extension while convening the review panel described in Amendment 17B, publishing the exact current SERO permit counts, reassessing the permit threshold, and completing the reserve-pool details contemplated by Amendment 17B. Throughout that process, NMFS must protect the validity, transferability, and asset value of permits held by both active and non-active participants.</w:t>
      </w:r>
    </w:p>
    <w:p w14:paraId="6E90AAE2" w14:textId="77777777" w:rsidR="00A9651F" w:rsidRDefault="0043464F" w:rsidP="00232464">
      <w:pPr>
        <w:ind w:left="4320"/>
        <w:rPr>
          <w:szCs w:val="24"/>
        </w:rPr>
      </w:pPr>
      <w:r w:rsidRPr="00F23998">
        <w:rPr>
          <w:szCs w:val="24"/>
        </w:rPr>
        <w:t>Respectfully submitted,</w:t>
      </w:r>
    </w:p>
    <w:p w14:paraId="64ECEAD8" w14:textId="466A65A2" w:rsidR="0086223A" w:rsidRDefault="0086223A" w:rsidP="00232464">
      <w:pPr>
        <w:ind w:left="4320"/>
        <w:rPr>
          <w:szCs w:val="24"/>
        </w:rPr>
      </w:pPr>
      <w:r>
        <w:rPr>
          <w:noProof/>
          <w:szCs w:val="24"/>
        </w:rPr>
        <w:drawing>
          <wp:inline distT="0" distB="0" distL="0" distR="0" wp14:anchorId="7AC9D103" wp14:editId="75FDB348">
            <wp:extent cx="2103120" cy="614533"/>
            <wp:effectExtent l="0" t="0" r="0" b="0"/>
            <wp:docPr id="138882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823404" name="Picture 1388823404"/>
                    <pic:cNvPicPr/>
                  </pic:nvPicPr>
                  <pic:blipFill>
                    <a:blip r:embed="rId9"/>
                    <a:stretch>
                      <a:fillRect/>
                    </a:stretch>
                  </pic:blipFill>
                  <pic:spPr>
                    <a:xfrm>
                      <a:off x="0" y="0"/>
                      <a:ext cx="2103120" cy="614533"/>
                    </a:xfrm>
                    <a:prstGeom prst="rect">
                      <a:avLst/>
                    </a:prstGeom>
                  </pic:spPr>
                </pic:pic>
              </a:graphicData>
            </a:graphic>
          </wp:inline>
        </w:drawing>
      </w:r>
    </w:p>
    <w:p w14:paraId="3EF8A2C7" w14:textId="77777777" w:rsidR="00A9651F" w:rsidRPr="00F23998" w:rsidRDefault="0043464F" w:rsidP="00232464">
      <w:pPr>
        <w:spacing w:after="0"/>
        <w:ind w:left="4320"/>
        <w:rPr>
          <w:rFonts w:ascii="Georgia" w:hAnsi="Georgia"/>
          <w:szCs w:val="24"/>
        </w:rPr>
      </w:pPr>
      <w:r w:rsidRPr="00F23998">
        <w:rPr>
          <w:b/>
          <w:szCs w:val="24"/>
        </w:rPr>
        <w:t>Blake Price</w:t>
      </w:r>
    </w:p>
    <w:p w14:paraId="63897DBD" w14:textId="77777777" w:rsidR="00A9651F" w:rsidRPr="00F23998" w:rsidRDefault="0043464F" w:rsidP="00232464">
      <w:pPr>
        <w:pStyle w:val="LetterAddressee"/>
        <w:ind w:left="4320"/>
        <w:rPr>
          <w:rFonts w:ascii="Georgia" w:hAnsi="Georgia"/>
          <w:sz w:val="24"/>
          <w:szCs w:val="24"/>
        </w:rPr>
      </w:pPr>
      <w:r w:rsidRPr="00F23998">
        <w:rPr>
          <w:rFonts w:ascii="Times New Roman" w:eastAsia="Times New Roman" w:hAnsi="Times New Roman"/>
          <w:sz w:val="24"/>
          <w:szCs w:val="24"/>
        </w:rPr>
        <w:t>Executive Director</w:t>
      </w:r>
    </w:p>
    <w:p w14:paraId="2CA9A682" w14:textId="77777777" w:rsidR="00A9651F" w:rsidRPr="00F23998" w:rsidRDefault="0043464F" w:rsidP="00232464">
      <w:pPr>
        <w:pStyle w:val="LetterAddressee"/>
        <w:ind w:left="4320"/>
        <w:rPr>
          <w:rFonts w:ascii="Georgia" w:hAnsi="Georgia"/>
          <w:sz w:val="24"/>
          <w:szCs w:val="24"/>
        </w:rPr>
      </w:pPr>
      <w:r w:rsidRPr="00F23998">
        <w:rPr>
          <w:rFonts w:ascii="Times New Roman" w:eastAsia="Times New Roman" w:hAnsi="Times New Roman"/>
          <w:sz w:val="24"/>
          <w:szCs w:val="24"/>
        </w:rPr>
        <w:t>Southern Shrimp Alliance</w:t>
      </w:r>
    </w:p>
    <w:sectPr w:rsidR="00A9651F" w:rsidRPr="00F23998" w:rsidSect="00034616">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AFA8E" w14:textId="77777777" w:rsidR="00CC5C32" w:rsidRDefault="00CC5C32">
      <w:pPr>
        <w:spacing w:after="0"/>
      </w:pPr>
      <w:r>
        <w:separator/>
      </w:r>
    </w:p>
  </w:endnote>
  <w:endnote w:type="continuationSeparator" w:id="0">
    <w:p w14:paraId="5052B185" w14:textId="77777777" w:rsidR="00CC5C32" w:rsidRDefault="00CC5C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B2AC8" w14:textId="77777777" w:rsidR="00A9651F" w:rsidRDefault="00A9651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D14CA" w14:textId="77777777" w:rsidR="00CC5C32" w:rsidRDefault="00CC5C32">
      <w:pPr>
        <w:spacing w:after="0"/>
      </w:pPr>
      <w:r>
        <w:separator/>
      </w:r>
    </w:p>
  </w:footnote>
  <w:footnote w:type="continuationSeparator" w:id="0">
    <w:p w14:paraId="55D59F13" w14:textId="77777777" w:rsidR="00CC5C32" w:rsidRDefault="00CC5C32">
      <w:pPr>
        <w:spacing w:after="0"/>
      </w:pPr>
      <w:r>
        <w:continuationSeparator/>
      </w:r>
    </w:p>
  </w:footnote>
  <w:footnote w:id="1">
    <w:p w14:paraId="75674131" w14:textId="1EF41A6A" w:rsidR="00236011" w:rsidRPr="00236011" w:rsidRDefault="00236011">
      <w:pPr>
        <w:pStyle w:val="FootnoteText"/>
      </w:pPr>
      <w:r>
        <w:rPr>
          <w:rStyle w:val="FootnoteReference"/>
        </w:rPr>
        <w:footnoteRef/>
      </w:r>
      <w:r>
        <w:t xml:space="preserve"> </w:t>
      </w:r>
      <w:r>
        <w:tab/>
      </w:r>
      <w:r>
        <w:rPr>
          <w:i/>
          <w:iCs/>
        </w:rPr>
        <w:t>See</w:t>
      </w:r>
      <w:r>
        <w:t xml:space="preserve"> </w:t>
      </w:r>
      <w:r>
        <w:rPr>
          <w:i/>
          <w:iCs/>
        </w:rPr>
        <w:t>Fisheries of the Caribbean, Gulf of America, and South Atlantic: Extension of the Commercial Shrimp Permit Moratorium in the Gulf of America</w:t>
      </w:r>
      <w:r>
        <w:t>, 91 Fed. Reg. 54,841 (NMFS Aug. 25, 2026).</w:t>
      </w:r>
    </w:p>
  </w:footnote>
  <w:footnote w:id="2">
    <w:p w14:paraId="53F5797A" w14:textId="578F5240" w:rsidR="00A1498C" w:rsidRPr="001F4C26" w:rsidRDefault="00A1498C" w:rsidP="001F4C26">
      <w:pPr>
        <w:pStyle w:val="FootnoteText"/>
        <w:rPr>
          <w:rFonts w:cs="Times New Roman"/>
        </w:rPr>
      </w:pPr>
      <w:r>
        <w:rPr>
          <w:rStyle w:val="FootnoteReference"/>
        </w:rPr>
        <w:footnoteRef/>
      </w:r>
      <w:r>
        <w:t xml:space="preserve"> </w:t>
      </w:r>
      <w:r>
        <w:tab/>
      </w:r>
      <w:r>
        <w:rPr>
          <w:i/>
          <w:iCs/>
        </w:rPr>
        <w:t>Id.</w:t>
      </w:r>
      <w:r>
        <w:t xml:space="preserve"> at 54,843.</w:t>
      </w:r>
      <w:r w:rsidR="00A44799">
        <w:t xml:space="preserve"> </w:t>
      </w:r>
      <w:r w:rsidR="00A63185">
        <w:t>This increased foreign competition is due to</w:t>
      </w:r>
      <w:r w:rsidR="00A44799">
        <w:t xml:space="preserve"> </w:t>
      </w:r>
      <w:r w:rsidR="00A44799" w:rsidRPr="007F59C7">
        <w:t>unfairly-traded</w:t>
      </w:r>
      <w:r w:rsidR="00A44799">
        <w:t xml:space="preserve"> imports. </w:t>
      </w:r>
      <w:r w:rsidR="00A63185">
        <w:t>Over the past two decades, t</w:t>
      </w:r>
      <w:r w:rsidR="00A44799">
        <w:t xml:space="preserve">he domestic shrimp industry has repeatedly established that </w:t>
      </w:r>
      <w:r w:rsidR="00A63185">
        <w:t xml:space="preserve">unfairly-traded </w:t>
      </w:r>
      <w:r w:rsidR="00A44799">
        <w:t xml:space="preserve">shrimp imports are materially injuring the U.S. industry. </w:t>
      </w:r>
      <w:r w:rsidR="00A44799">
        <w:rPr>
          <w:i/>
          <w:iCs/>
        </w:rPr>
        <w:t>See</w:t>
      </w:r>
      <w:r w:rsidR="00A44799">
        <w:t xml:space="preserve">, </w:t>
      </w:r>
      <w:r w:rsidR="00A44799">
        <w:rPr>
          <w:i/>
          <w:iCs/>
        </w:rPr>
        <w:t>e.g.</w:t>
      </w:r>
      <w:r w:rsidR="00A44799">
        <w:t xml:space="preserve"> 70 Fed. Reg. 5,147 (</w:t>
      </w:r>
      <w:proofErr w:type="spellStart"/>
      <w:r w:rsidR="00A44799">
        <w:t>Dep’t</w:t>
      </w:r>
      <w:proofErr w:type="spellEnd"/>
      <w:r w:rsidR="00A44799">
        <w:t xml:space="preserve"> Commerce Feb. 1, 2005)</w:t>
      </w:r>
      <w:r w:rsidR="001F4C26">
        <w:t xml:space="preserve">; </w:t>
      </w:r>
      <w:r w:rsidR="001F4C26">
        <w:rPr>
          <w:rFonts w:cs="Times New Roman"/>
        </w:rPr>
        <w:t>76 Fed. Reg. 23,972 (</w:t>
      </w:r>
      <w:proofErr w:type="spellStart"/>
      <w:r w:rsidR="001F4C26">
        <w:rPr>
          <w:rFonts w:cs="Times New Roman"/>
        </w:rPr>
        <w:t>Dep’t</w:t>
      </w:r>
      <w:proofErr w:type="spellEnd"/>
      <w:r w:rsidR="001F4C26">
        <w:rPr>
          <w:rFonts w:cs="Times New Roman"/>
        </w:rPr>
        <w:t xml:space="preserve"> Commerce Apr. 29, 2011); 82 Fed. Reg. 25,242 (</w:t>
      </w:r>
      <w:proofErr w:type="spellStart"/>
      <w:r w:rsidR="001F4C26">
        <w:rPr>
          <w:rFonts w:cs="Times New Roman"/>
        </w:rPr>
        <w:t>Dep’t</w:t>
      </w:r>
      <w:proofErr w:type="spellEnd"/>
      <w:r w:rsidR="001F4C26">
        <w:rPr>
          <w:rFonts w:cs="Times New Roman"/>
        </w:rPr>
        <w:t xml:space="preserve"> Commerce June 1, 2017); 88 Fed. Reg. 42,914 (</w:t>
      </w:r>
      <w:proofErr w:type="spellStart"/>
      <w:r w:rsidR="001F4C26">
        <w:rPr>
          <w:rFonts w:cs="Times New Roman"/>
        </w:rPr>
        <w:t>Dep’t</w:t>
      </w:r>
      <w:proofErr w:type="spellEnd"/>
      <w:r w:rsidR="001F4C26">
        <w:rPr>
          <w:rFonts w:cs="Times New Roman"/>
        </w:rPr>
        <w:t xml:space="preserve"> Commerce July 5, 2023)</w:t>
      </w:r>
      <w:r w:rsidR="00A63185">
        <w:rPr>
          <w:rFonts w:cs="Times New Roman"/>
        </w:rPr>
        <w:t>; and 89 Fed. Reg. 104,982 (</w:t>
      </w:r>
      <w:proofErr w:type="spellStart"/>
      <w:r w:rsidR="00A63185">
        <w:rPr>
          <w:rFonts w:cs="Times New Roman"/>
        </w:rPr>
        <w:t>Dep’t</w:t>
      </w:r>
      <w:proofErr w:type="spellEnd"/>
      <w:r w:rsidR="00A63185">
        <w:rPr>
          <w:rFonts w:cs="Times New Roman"/>
        </w:rPr>
        <w:t xml:space="preserve"> Commerce Dec. 26, 2024). </w:t>
      </w:r>
    </w:p>
  </w:footnote>
  <w:footnote w:id="3">
    <w:p w14:paraId="227A6775" w14:textId="6994DD44" w:rsidR="00055D86" w:rsidRPr="00055D86" w:rsidRDefault="00055D86">
      <w:pPr>
        <w:pStyle w:val="FootnoteText"/>
      </w:pPr>
      <w:r>
        <w:rPr>
          <w:rStyle w:val="FootnoteReference"/>
        </w:rPr>
        <w:footnoteRef/>
      </w:r>
      <w:r>
        <w:t xml:space="preserve"> </w:t>
      </w:r>
      <w:r>
        <w:tab/>
        <w:t xml:space="preserve">The U.S. Supreme Court’s February 2026 decision in </w:t>
      </w:r>
      <w:r>
        <w:rPr>
          <w:i/>
          <w:iCs/>
        </w:rPr>
        <w:t>Learning Resources, Inc. v. Trump</w:t>
      </w:r>
      <w:r>
        <w:t xml:space="preserve">, 607 U.S. 229 (2026) invalidating the additional tariffs imposed under the </w:t>
      </w:r>
      <w:r>
        <w:rPr>
          <w:i/>
          <w:iCs/>
        </w:rPr>
        <w:t xml:space="preserve">International Emergency Economic Powers Act </w:t>
      </w:r>
      <w:r>
        <w:t>(IEEPA) and significant increases in fuel costs through 2026 have significantly eroded the progress made by the domestic shrimp industry in 2025.</w:t>
      </w:r>
    </w:p>
  </w:footnote>
  <w:footnote w:id="4">
    <w:p w14:paraId="4D412027" w14:textId="3839EF72" w:rsidR="00A1498C" w:rsidRDefault="00A1498C">
      <w:pPr>
        <w:pStyle w:val="FootnoteText"/>
      </w:pPr>
      <w:r>
        <w:rPr>
          <w:rStyle w:val="FootnoteReference"/>
        </w:rPr>
        <w:footnoteRef/>
      </w:r>
      <w:r>
        <w:t xml:space="preserve"> </w:t>
      </w:r>
      <w:r>
        <w:tab/>
        <w:t xml:space="preserve">“From 2022 through 2024, the median price of a Federal Gulf shrimp permit as estimated to be $5,250.” </w:t>
      </w:r>
      <w:r>
        <w:rPr>
          <w:i/>
          <w:iCs/>
        </w:rPr>
        <w:t>Fisheries of the Caribbean, Gulf of America, and South Atlantic: Extension of the Commercial Shrimp Permit Moratorium in the Gulf of America</w:t>
      </w:r>
      <w:r>
        <w:t>, 91 Fed. Reg. 54,841, 54,843 (NMFS Aug. 25, 2026).</w:t>
      </w:r>
    </w:p>
  </w:footnote>
  <w:footnote w:id="5">
    <w:p w14:paraId="2ABCD225" w14:textId="22EF954C" w:rsidR="00A1498C" w:rsidRPr="00A1498C" w:rsidRDefault="00A1498C">
      <w:pPr>
        <w:pStyle w:val="FootnoteText"/>
      </w:pPr>
      <w:r>
        <w:rPr>
          <w:rStyle w:val="FootnoteReference"/>
        </w:rPr>
        <w:footnoteRef/>
      </w:r>
      <w:r>
        <w:t xml:space="preserve"> </w:t>
      </w:r>
      <w:r>
        <w:tab/>
      </w:r>
      <w:r>
        <w:rPr>
          <w:i/>
          <w:iCs/>
        </w:rPr>
        <w:t>Id.</w:t>
      </w:r>
      <w:r>
        <w:t xml:space="preserve"> at 54,842.</w:t>
      </w:r>
    </w:p>
  </w:footnote>
  <w:footnote w:id="6">
    <w:p w14:paraId="4CE37EF1" w14:textId="678A3DB2" w:rsidR="00A1498C" w:rsidRPr="00A1498C" w:rsidRDefault="00A1498C">
      <w:pPr>
        <w:pStyle w:val="FootnoteText"/>
        <w:rPr>
          <w:i/>
          <w:iCs/>
        </w:rPr>
      </w:pPr>
      <w:r>
        <w:rPr>
          <w:rStyle w:val="FootnoteReference"/>
        </w:rPr>
        <w:footnoteRef/>
      </w:r>
      <w:r>
        <w:t xml:space="preserve"> </w:t>
      </w:r>
      <w:r>
        <w:tab/>
      </w:r>
      <w:r>
        <w:rPr>
          <w:i/>
          <w:iCs/>
        </w:rPr>
        <w:t>Id.</w:t>
      </w:r>
    </w:p>
  </w:footnote>
  <w:footnote w:id="7">
    <w:p w14:paraId="74E05C59" w14:textId="3BE8BC94" w:rsidR="005F6E8B" w:rsidRPr="005F6E8B" w:rsidRDefault="005F6E8B">
      <w:pPr>
        <w:pStyle w:val="FootnoteText"/>
      </w:pPr>
      <w:r>
        <w:rPr>
          <w:rStyle w:val="FootnoteReference"/>
        </w:rPr>
        <w:footnoteRef/>
      </w:r>
      <w:r>
        <w:t xml:space="preserve"> </w:t>
      </w:r>
      <w:r>
        <w:tab/>
      </w:r>
      <w:r>
        <w:rPr>
          <w:i/>
          <w:iCs/>
        </w:rPr>
        <w:t>See</w:t>
      </w:r>
      <w:r>
        <w:t xml:space="preserve"> </w:t>
      </w:r>
      <w:hyperlink r:id="rId1" w:history="1">
        <w:r w:rsidRPr="00F74290">
          <w:rPr>
            <w:rStyle w:val="Hyperlink"/>
          </w:rPr>
          <w:t>https://appsportal.fisheries.noaa.gov/FOIA-Southeast</w:t>
        </w:r>
      </w:hyperlink>
      <w:r>
        <w:t xml:space="preserve">. </w:t>
      </w:r>
    </w:p>
  </w:footnote>
  <w:footnote w:id="8">
    <w:p w14:paraId="585A3196" w14:textId="14A3D9F3" w:rsidR="00D46818" w:rsidRPr="00D46818" w:rsidRDefault="00D46818">
      <w:pPr>
        <w:pStyle w:val="FootnoteText"/>
      </w:pPr>
      <w:r>
        <w:rPr>
          <w:rStyle w:val="FootnoteReference"/>
        </w:rPr>
        <w:footnoteRef/>
      </w:r>
      <w:r>
        <w:t xml:space="preserve"> </w:t>
      </w:r>
      <w:r>
        <w:tab/>
      </w:r>
      <w:r>
        <w:rPr>
          <w:i/>
          <w:iCs/>
        </w:rPr>
        <w:t xml:space="preserve">See </w:t>
      </w:r>
      <w:r>
        <w:t xml:space="preserve">NOAA Fisheries, </w:t>
      </w:r>
      <w:r>
        <w:rPr>
          <w:i/>
          <w:iCs/>
        </w:rPr>
        <w:t>Shrimp Permit Moratorium: Amendment 19 to the Fishery Management Plan for the Shrimp Fishery in the Gulf, U.S. Waters</w:t>
      </w:r>
      <w:r>
        <w:t xml:space="preserve"> (Mar. 16, 2026), available at: </w:t>
      </w:r>
      <w:hyperlink r:id="rId2" w:history="1">
        <w:r w:rsidRPr="00F74290">
          <w:rPr>
            <w:rStyle w:val="Hyperlink"/>
          </w:rPr>
          <w:t>https://www.fisheries.noaa.gov/s3/2026-03/shrimp-amendment-19-transmit_final_03_26.pdf</w:t>
        </w:r>
      </w:hyperlink>
      <w:r>
        <w:t xml:space="preserve"> </w:t>
      </w:r>
    </w:p>
  </w:footnote>
  <w:footnote w:id="9">
    <w:p w14:paraId="23CFF5BD" w14:textId="0E6BC338" w:rsidR="003B53FD" w:rsidRPr="003B53FD" w:rsidRDefault="003B53FD">
      <w:pPr>
        <w:pStyle w:val="FootnoteText"/>
      </w:pPr>
      <w:r>
        <w:rPr>
          <w:rStyle w:val="FootnoteReference"/>
        </w:rPr>
        <w:footnoteRef/>
      </w:r>
      <w:r>
        <w:t xml:space="preserve"> </w:t>
      </w:r>
      <w:r>
        <w:tab/>
      </w:r>
      <w:r>
        <w:rPr>
          <w:i/>
          <w:iCs/>
        </w:rPr>
        <w:t>See</w:t>
      </w:r>
      <w:r>
        <w:t xml:space="preserve"> </w:t>
      </w:r>
      <w:r>
        <w:rPr>
          <w:i/>
          <w:iCs/>
        </w:rPr>
        <w:t>Fisheries of the Caribbean, Gulf of America, and South Atlantic: Extension of the Commercial Shrimp Permit Moratorium in the Gulf of America</w:t>
      </w:r>
      <w:r>
        <w:t>, 91 Fed. Reg. 54,841, 54,842 (NMFS Aug. 25, 2026).</w:t>
      </w:r>
    </w:p>
  </w:footnote>
  <w:footnote w:id="10">
    <w:p w14:paraId="59879484" w14:textId="0296B338" w:rsidR="003B53FD" w:rsidRPr="003B53FD" w:rsidRDefault="003B53FD">
      <w:pPr>
        <w:pStyle w:val="FootnoteText"/>
        <w:rPr>
          <w:i/>
          <w:iCs/>
        </w:rPr>
      </w:pPr>
      <w:r>
        <w:rPr>
          <w:rStyle w:val="FootnoteReference"/>
        </w:rPr>
        <w:footnoteRef/>
      </w:r>
      <w:r>
        <w:t xml:space="preserve"> </w:t>
      </w:r>
      <w:r>
        <w:tab/>
      </w:r>
      <w:r>
        <w:rPr>
          <w:i/>
          <w:iCs/>
        </w:rPr>
        <w:t>See id.</w:t>
      </w:r>
    </w:p>
  </w:footnote>
  <w:footnote w:id="11">
    <w:p w14:paraId="34114512" w14:textId="418EC50A" w:rsidR="00D25A7C" w:rsidRPr="00D25A7C" w:rsidRDefault="00D25A7C">
      <w:pPr>
        <w:pStyle w:val="FootnoteText"/>
        <w:rPr>
          <w:i/>
          <w:iCs/>
        </w:rPr>
      </w:pPr>
      <w:r>
        <w:rPr>
          <w:rStyle w:val="FootnoteReference"/>
        </w:rPr>
        <w:footnoteRef/>
      </w:r>
      <w:r>
        <w:t xml:space="preserve"> </w:t>
      </w:r>
      <w:r>
        <w:tab/>
      </w:r>
      <w:r>
        <w:rPr>
          <w:i/>
          <w:iCs/>
        </w:rPr>
        <w:t>See id.</w:t>
      </w:r>
    </w:p>
  </w:footnote>
  <w:footnote w:id="12">
    <w:p w14:paraId="44B370AC" w14:textId="1F3F3B9F" w:rsidR="00D25A7C" w:rsidRPr="00D25A7C" w:rsidRDefault="00D25A7C">
      <w:pPr>
        <w:pStyle w:val="FootnoteText"/>
      </w:pPr>
      <w:r>
        <w:rPr>
          <w:rStyle w:val="FootnoteReference"/>
        </w:rPr>
        <w:footnoteRef/>
      </w:r>
      <w:r>
        <w:t xml:space="preserve"> </w:t>
      </w:r>
      <w:r>
        <w:tab/>
      </w:r>
      <w:r>
        <w:rPr>
          <w:i/>
          <w:iCs/>
        </w:rPr>
        <w:t>See</w:t>
      </w:r>
      <w:r>
        <w:t xml:space="preserve"> </w:t>
      </w:r>
      <w:hyperlink r:id="rId3" w:history="1">
        <w:r w:rsidRPr="00F74290">
          <w:rPr>
            <w:rStyle w:val="Hyperlink"/>
          </w:rPr>
          <w:t>https://appsportal.fisheries.noaa.gov/FOIA-Southeast</w:t>
        </w:r>
      </w:hyperlink>
      <w:r>
        <w:t xml:space="preserve">. </w:t>
      </w:r>
    </w:p>
  </w:footnote>
  <w:footnote w:id="13">
    <w:p w14:paraId="6E9A06DB" w14:textId="0680A916" w:rsidR="00D25A7C" w:rsidRDefault="00D25A7C">
      <w:pPr>
        <w:pStyle w:val="FootnoteText"/>
      </w:pPr>
      <w:r>
        <w:rPr>
          <w:rStyle w:val="FootnoteReference"/>
        </w:rPr>
        <w:footnoteRef/>
      </w:r>
      <w:r>
        <w:t xml:space="preserve"> </w:t>
      </w:r>
      <w:r>
        <w:tab/>
        <w:t>756/1,933 = .3911.</w:t>
      </w:r>
    </w:p>
  </w:footnote>
  <w:footnote w:id="14">
    <w:p w14:paraId="0C5A2D25" w14:textId="6B9BDBB7" w:rsidR="0054054E" w:rsidRDefault="0054054E">
      <w:pPr>
        <w:pStyle w:val="FootnoteText"/>
      </w:pPr>
      <w:r>
        <w:rPr>
          <w:rStyle w:val="FootnoteReference"/>
        </w:rPr>
        <w:footnoteRef/>
      </w:r>
      <w:r>
        <w:t xml:space="preserve"> </w:t>
      </w:r>
      <w:r>
        <w:tab/>
      </w:r>
      <w:r w:rsidRPr="00601FFA">
        <w:rPr>
          <w:rFonts w:cs="Times New Roman"/>
        </w:rPr>
        <w:t>“Once the minimum number of valid or renewable Gulf shrimp permits reaches 1,175, the Gulf Council (Council) will form a review panel to review the details of a permit pool and other options (GMFMC 2017).”</w:t>
      </w:r>
      <w:r>
        <w:rPr>
          <w:rFonts w:cs="Times New Roman"/>
        </w:rPr>
        <w:t xml:space="preserve"> </w:t>
      </w:r>
      <w:r>
        <w:t xml:space="preserve">NOAA Fisheries, </w:t>
      </w:r>
      <w:r>
        <w:rPr>
          <w:i/>
          <w:iCs/>
        </w:rPr>
        <w:t>Shrimp Permit Moratorium: Amendment 19 to the Fishery Management Plan for the Shrimp Fishery in the Gulf, U.S. Waters</w:t>
      </w:r>
      <w:r>
        <w:t xml:space="preserve"> at 35 (Mar. 16,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C8E3" w14:textId="7633D309" w:rsidR="00EC6F32" w:rsidRDefault="00D46818">
    <w:pPr>
      <w:pStyle w:val="Header"/>
    </w:pPr>
    <w:r>
      <w:rPr>
        <w:color w:val="000000"/>
      </w:rPr>
      <w:t>Mr. Frank Helies</w:t>
    </w:r>
    <w:r w:rsidR="001C7144">
      <w:rPr>
        <w:color w:val="000000"/>
      </w:rPr>
      <w:br/>
    </w:r>
    <w:r>
      <w:rPr>
        <w:color w:val="000000"/>
      </w:rPr>
      <w:t xml:space="preserve">September </w:t>
    </w:r>
    <w:r w:rsidR="007F59C7">
      <w:rPr>
        <w:color w:val="000000"/>
      </w:rPr>
      <w:t>18</w:t>
    </w:r>
    <w:r w:rsidR="001C7144">
      <w:rPr>
        <w:color w:val="000000"/>
      </w:rPr>
      <w:t>, 2026</w:t>
    </w:r>
    <w:r w:rsidR="001C7144">
      <w:rPr>
        <w:color w:val="000000"/>
      </w:rPr>
      <w:br/>
      <w:t xml:space="preserve">Page </w:t>
    </w:r>
    <w:r w:rsidR="001C7144">
      <w:fldChar w:fldCharType="begin"/>
    </w:r>
    <w:r w:rsidR="001C7144">
      <w:instrText xml:space="preserve"> PAGE </w:instrText>
    </w:r>
    <w:r w:rsidR="001C7144">
      <w:fldChar w:fldCharType="separate"/>
    </w:r>
    <w:r w:rsidR="001C7144">
      <w:t>2</w:t>
    </w:r>
    <w:r w:rsidR="001C7144">
      <w:fldChar w:fldCharType="end"/>
    </w:r>
  </w:p>
  <w:p w14:paraId="21E9DAB4" w14:textId="77777777" w:rsidR="00D46818" w:rsidRDefault="00D46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00DC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654D46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BDABC8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4F650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EC4BF0"/>
    <w:lvl w:ilvl="0">
      <w:start w:val="1"/>
      <w:numFmt w:val="decimal"/>
      <w:pStyle w:val="ListNumber"/>
      <w:lvlText w:val="%1."/>
      <w:lvlJc w:val="left"/>
      <w:pPr>
        <w:ind w:left="360" w:hanging="360"/>
      </w:pPr>
      <w:rPr>
        <w:rFonts w:hint="default"/>
      </w:rPr>
    </w:lvl>
  </w:abstractNum>
  <w:abstractNum w:abstractNumId="9"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9E46BD"/>
    <w:multiLevelType w:val="hybridMultilevel"/>
    <w:tmpl w:val="08D66A54"/>
    <w:lvl w:ilvl="0" w:tplc="A12C9454">
      <w:start w:val="1"/>
      <w:numFmt w:val="decimal"/>
      <w:lvlText w:val="%1."/>
      <w:lvlJc w:val="left"/>
      <w:pPr>
        <w:ind w:left="72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07678">
    <w:abstractNumId w:val="9"/>
  </w:num>
  <w:num w:numId="2" w16cid:durableId="672338692">
    <w:abstractNumId w:val="7"/>
  </w:num>
  <w:num w:numId="3" w16cid:durableId="1084885629">
    <w:abstractNumId w:val="6"/>
  </w:num>
  <w:num w:numId="4" w16cid:durableId="2007129693">
    <w:abstractNumId w:val="5"/>
  </w:num>
  <w:num w:numId="5" w16cid:durableId="1746805176">
    <w:abstractNumId w:val="8"/>
  </w:num>
  <w:num w:numId="6" w16cid:durableId="2110468133">
    <w:abstractNumId w:val="3"/>
  </w:num>
  <w:num w:numId="7" w16cid:durableId="794100577">
    <w:abstractNumId w:val="2"/>
  </w:num>
  <w:num w:numId="8" w16cid:durableId="328867052">
    <w:abstractNumId w:val="1"/>
  </w:num>
  <w:num w:numId="9" w16cid:durableId="1136948748">
    <w:abstractNumId w:val="0"/>
  </w:num>
  <w:num w:numId="10" w16cid:durableId="1152407610">
    <w:abstractNumId w:val="4"/>
  </w:num>
  <w:num w:numId="11" w16cid:durableId="1058894460">
    <w:abstractNumId w:val="1"/>
  </w:num>
  <w:num w:numId="12" w16cid:durableId="644361483">
    <w:abstractNumId w:val="0"/>
  </w:num>
  <w:num w:numId="13" w16cid:durableId="101344458">
    <w:abstractNumId w:val="1"/>
  </w:num>
  <w:num w:numId="14" w16cid:durableId="537669801">
    <w:abstractNumId w:val="0"/>
  </w:num>
  <w:num w:numId="15" w16cid:durableId="1292319995">
    <w:abstractNumId w:val="1"/>
  </w:num>
  <w:num w:numId="16" w16cid:durableId="373508965">
    <w:abstractNumId w:val="0"/>
  </w:num>
  <w:num w:numId="17" w16cid:durableId="1499808105">
    <w:abstractNumId w:val="1"/>
  </w:num>
  <w:num w:numId="18" w16cid:durableId="165755228">
    <w:abstractNumId w:val="0"/>
  </w:num>
  <w:num w:numId="19" w16cid:durableId="597215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5A5"/>
    <w:rsid w:val="000327DD"/>
    <w:rsid w:val="00034616"/>
    <w:rsid w:val="00055D86"/>
    <w:rsid w:val="0006063C"/>
    <w:rsid w:val="00062C48"/>
    <w:rsid w:val="00091E22"/>
    <w:rsid w:val="00106F61"/>
    <w:rsid w:val="0015074B"/>
    <w:rsid w:val="001954F3"/>
    <w:rsid w:val="001A5173"/>
    <w:rsid w:val="001C7144"/>
    <w:rsid w:val="001F4C26"/>
    <w:rsid w:val="0021099C"/>
    <w:rsid w:val="00232464"/>
    <w:rsid w:val="00236011"/>
    <w:rsid w:val="00295AD0"/>
    <w:rsid w:val="0029639D"/>
    <w:rsid w:val="00316406"/>
    <w:rsid w:val="00326F90"/>
    <w:rsid w:val="00330759"/>
    <w:rsid w:val="003B53FD"/>
    <w:rsid w:val="003B65A6"/>
    <w:rsid w:val="003C5D40"/>
    <w:rsid w:val="004343F9"/>
    <w:rsid w:val="0043464F"/>
    <w:rsid w:val="004B28DE"/>
    <w:rsid w:val="004B72D0"/>
    <w:rsid w:val="00535631"/>
    <w:rsid w:val="0054054E"/>
    <w:rsid w:val="005B6D7D"/>
    <w:rsid w:val="005F6E8B"/>
    <w:rsid w:val="00627DCA"/>
    <w:rsid w:val="006B0717"/>
    <w:rsid w:val="006C564B"/>
    <w:rsid w:val="007546DB"/>
    <w:rsid w:val="00774ACC"/>
    <w:rsid w:val="007F59C7"/>
    <w:rsid w:val="00807C8E"/>
    <w:rsid w:val="00834991"/>
    <w:rsid w:val="0086223A"/>
    <w:rsid w:val="00873035"/>
    <w:rsid w:val="008E03A8"/>
    <w:rsid w:val="008E1B95"/>
    <w:rsid w:val="008E4554"/>
    <w:rsid w:val="009A1416"/>
    <w:rsid w:val="00A1498C"/>
    <w:rsid w:val="00A44799"/>
    <w:rsid w:val="00A512C7"/>
    <w:rsid w:val="00A63185"/>
    <w:rsid w:val="00A77A9E"/>
    <w:rsid w:val="00A9651F"/>
    <w:rsid w:val="00AA1D8D"/>
    <w:rsid w:val="00AA551D"/>
    <w:rsid w:val="00AB21C4"/>
    <w:rsid w:val="00AC1FA5"/>
    <w:rsid w:val="00AF2347"/>
    <w:rsid w:val="00B12CDA"/>
    <w:rsid w:val="00B201D8"/>
    <w:rsid w:val="00B47730"/>
    <w:rsid w:val="00B52981"/>
    <w:rsid w:val="00B66308"/>
    <w:rsid w:val="00B966BF"/>
    <w:rsid w:val="00B9739E"/>
    <w:rsid w:val="00BD54D5"/>
    <w:rsid w:val="00C017E1"/>
    <w:rsid w:val="00C63308"/>
    <w:rsid w:val="00CB0664"/>
    <w:rsid w:val="00CC5C32"/>
    <w:rsid w:val="00CC70C5"/>
    <w:rsid w:val="00CF6FA1"/>
    <w:rsid w:val="00D25A7C"/>
    <w:rsid w:val="00D46818"/>
    <w:rsid w:val="00D931A8"/>
    <w:rsid w:val="00D96704"/>
    <w:rsid w:val="00E0566C"/>
    <w:rsid w:val="00E12113"/>
    <w:rsid w:val="00E25686"/>
    <w:rsid w:val="00E62185"/>
    <w:rsid w:val="00E77D42"/>
    <w:rsid w:val="00EC6F32"/>
    <w:rsid w:val="00F032D1"/>
    <w:rsid w:val="00F23998"/>
    <w:rsid w:val="00F52B36"/>
    <w:rsid w:val="00FC693F"/>
    <w:rsid w:val="00FF0B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F0AB0"/>
  <w14:defaultImageDpi w14:val="300"/>
  <w15:docId w15:val="{37DA0994-FFE6-4B0C-BC49-755955DD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98C"/>
    <w:pPr>
      <w:spacing w:after="16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54054E"/>
    <w:pPr>
      <w:spacing w:after="240"/>
      <w:ind w:firstLine="720"/>
    </w:pPr>
  </w:style>
  <w:style w:type="character" w:customStyle="1" w:styleId="BodyTextChar">
    <w:name w:val="Body Text Char"/>
    <w:basedOn w:val="DefaultParagraphFont"/>
    <w:link w:val="BodyText"/>
    <w:uiPriority w:val="99"/>
    <w:rsid w:val="0054054E"/>
    <w:rPr>
      <w:rFonts w:ascii="Times New Roman" w:eastAsia="Times New Roman" w:hAnsi="Times New Roman"/>
      <w:sz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E0566C"/>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tterAddressee">
    <w:name w:val="Letter Addressee"/>
    <w:pPr>
      <w:spacing w:after="0" w:line="240" w:lineRule="auto"/>
    </w:pPr>
    <w:rPr>
      <w:rFonts w:ascii="Calibri" w:hAnsi="Calibri"/>
      <w:sz w:val="19"/>
    </w:rPr>
  </w:style>
  <w:style w:type="paragraph" w:styleId="FootnoteText">
    <w:name w:val="footnote text"/>
    <w:basedOn w:val="Normal"/>
    <w:link w:val="FootnoteTextChar"/>
    <w:uiPriority w:val="99"/>
    <w:unhideWhenUsed/>
    <w:rsid w:val="00232464"/>
    <w:pPr>
      <w:spacing w:after="120"/>
      <w:ind w:left="720" w:hanging="720"/>
    </w:pPr>
    <w:rPr>
      <w:sz w:val="20"/>
      <w:szCs w:val="20"/>
    </w:rPr>
  </w:style>
  <w:style w:type="character" w:customStyle="1" w:styleId="FootnoteTextChar">
    <w:name w:val="Footnote Text Char"/>
    <w:basedOn w:val="DefaultParagraphFont"/>
    <w:link w:val="FootnoteText"/>
    <w:uiPriority w:val="99"/>
    <w:rsid w:val="00232464"/>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236011"/>
    <w:rPr>
      <w:vertAlign w:val="superscript"/>
    </w:rPr>
  </w:style>
  <w:style w:type="character" w:styleId="Hyperlink">
    <w:name w:val="Hyperlink"/>
    <w:basedOn w:val="DefaultParagraphFont"/>
    <w:uiPriority w:val="99"/>
    <w:unhideWhenUsed/>
    <w:rsid w:val="005F6E8B"/>
    <w:rPr>
      <w:color w:val="0000FF" w:themeColor="hyperlink"/>
      <w:u w:val="single"/>
    </w:rPr>
  </w:style>
  <w:style w:type="character" w:styleId="UnresolvedMention">
    <w:name w:val="Unresolved Mention"/>
    <w:basedOn w:val="DefaultParagraphFont"/>
    <w:uiPriority w:val="99"/>
    <w:semiHidden/>
    <w:unhideWhenUsed/>
    <w:rsid w:val="005F6E8B"/>
    <w:rPr>
      <w:color w:val="605E5C"/>
      <w:shd w:val="clear" w:color="auto" w:fill="E1DFDD"/>
    </w:rPr>
  </w:style>
  <w:style w:type="paragraph" w:styleId="Revision">
    <w:name w:val="Revision"/>
    <w:hidden/>
    <w:uiPriority w:val="99"/>
    <w:semiHidden/>
    <w:rsid w:val="00D96704"/>
    <w:pPr>
      <w:spacing w:after="0" w:line="240" w:lineRule="auto"/>
    </w:pPr>
    <w:rPr>
      <w:rFonts w:ascii="Times New Roman" w:eastAsia="Times New Roman" w:hAnsi="Times New Roman"/>
      <w:sz w:val="24"/>
    </w:rPr>
  </w:style>
  <w:style w:type="character" w:styleId="CommentReference">
    <w:name w:val="annotation reference"/>
    <w:basedOn w:val="DefaultParagraphFont"/>
    <w:uiPriority w:val="99"/>
    <w:semiHidden/>
    <w:unhideWhenUsed/>
    <w:rsid w:val="00D96704"/>
    <w:rPr>
      <w:sz w:val="16"/>
      <w:szCs w:val="16"/>
    </w:rPr>
  </w:style>
  <w:style w:type="paragraph" w:styleId="CommentText">
    <w:name w:val="annotation text"/>
    <w:basedOn w:val="Normal"/>
    <w:link w:val="CommentTextChar"/>
    <w:uiPriority w:val="99"/>
    <w:semiHidden/>
    <w:unhideWhenUsed/>
    <w:rsid w:val="00D96704"/>
    <w:rPr>
      <w:sz w:val="20"/>
      <w:szCs w:val="20"/>
    </w:rPr>
  </w:style>
  <w:style w:type="character" w:customStyle="1" w:styleId="CommentTextChar">
    <w:name w:val="Comment Text Char"/>
    <w:basedOn w:val="DefaultParagraphFont"/>
    <w:link w:val="CommentText"/>
    <w:uiPriority w:val="99"/>
    <w:semiHidden/>
    <w:rsid w:val="00D96704"/>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96704"/>
    <w:rPr>
      <w:b/>
      <w:bCs/>
    </w:rPr>
  </w:style>
  <w:style w:type="character" w:customStyle="1" w:styleId="CommentSubjectChar">
    <w:name w:val="Comment Subject Char"/>
    <w:basedOn w:val="CommentTextChar"/>
    <w:link w:val="CommentSubject"/>
    <w:uiPriority w:val="99"/>
    <w:semiHidden/>
    <w:rsid w:val="00D9670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footnotes.xml.rels><?xml version="1.0" encoding="UTF-8" standalone="yes"?>
<Relationships xmlns="http://schemas.openxmlformats.org/package/2006/relationships"><Relationship Id="rId3" Type="http://schemas.openxmlformats.org/officeDocument/2006/relationships/hyperlink" Target="https://appsportal.fisheries.noaa.gov/FOIA-Southeast" TargetMode="External"/><Relationship Id="rId2" Type="http://schemas.openxmlformats.org/officeDocument/2006/relationships/hyperlink" Target="https://www.fisheries.noaa.gov/s3/2026-03/shrimp-amendment-19-transmit_final_03_26.pdf" TargetMode="External"/><Relationship Id="rId1" Type="http://schemas.openxmlformats.org/officeDocument/2006/relationships/hyperlink" Target="https://appsportal.fisheries.noaa.gov/FOIA-Southe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2129</Words>
  <Characters>12137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SSA Comments on Proposed Gulf Shrimp Permit Moratorium Extension</vt:lpstr>
    </vt:vector>
  </TitlesOfParts>
  <Manager/>
  <Company/>
  <LinksUpToDate>false</LinksUpToDate>
  <CharactersWithSpaces>14238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SSA Comments on Proposed Gulf Shrimp Permit Moratorium Extension</dc:title>
  <dc:subject>Docket NOAA-NMFS-2026-1387</dc:subject>
  <dc:creator>Southern Shrimp Alliance</dc:creator>
  <cp:keywords/>
  <dc:description>generated by python-docx</dc:description>
  <cp:lastModifiedBy>Blake Price</cp:lastModifiedBy>
  <cp:revision>2</cp:revision>
  <cp:lastPrinted>2026-09-18T15:47:00Z</cp:lastPrinted>
  <dcterms:created xsi:type="dcterms:W3CDTF">2026-09-18T16:22:00Z</dcterms:created>
  <dcterms:modified xsi:type="dcterms:W3CDTF">2026-09-18T16:22:00Z</dcterms:modified>
  <cp:category/>
</cp:coreProperties>
</file>